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方案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偏离/违背</w:t>
      </w:r>
      <w:r>
        <w:rPr>
          <w:rFonts w:hint="eastAsia" w:ascii="宋体" w:hAnsi="宋体" w:eastAsia="宋体" w:cs="宋体"/>
          <w:b/>
          <w:sz w:val="32"/>
          <w:szCs w:val="32"/>
        </w:rPr>
        <w:t>报告表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730"/>
        <w:gridCol w:w="2415"/>
        <w:gridCol w:w="1871"/>
      </w:tblGrid>
      <w:tr w14:paraId="3EA5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12" w:type="dxa"/>
            <w:noWrap w:val="0"/>
            <w:vAlign w:val="center"/>
          </w:tcPr>
          <w:p w14:paraId="765B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46AC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467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12" w:type="dxa"/>
            <w:noWrap w:val="0"/>
            <w:vAlign w:val="center"/>
          </w:tcPr>
          <w:p w14:paraId="47E1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2F2B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1A4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noWrap w:val="0"/>
            <w:vAlign w:val="center"/>
          </w:tcPr>
          <w:p w14:paraId="63E3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方案版本号</w:t>
            </w:r>
          </w:p>
          <w:p w14:paraId="03DB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及版本日期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537A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B1D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noWrap w:val="0"/>
            <w:vAlign w:val="center"/>
          </w:tcPr>
          <w:p w14:paraId="45E6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现行知情同意书版本号及版本日期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7638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7D5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noWrap w:val="0"/>
            <w:vAlign w:val="center"/>
          </w:tcPr>
          <w:p w14:paraId="5AFE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/科室</w:t>
            </w:r>
          </w:p>
        </w:tc>
        <w:tc>
          <w:tcPr>
            <w:tcW w:w="2730" w:type="dxa"/>
            <w:noWrap w:val="0"/>
            <w:vAlign w:val="center"/>
          </w:tcPr>
          <w:p w14:paraId="60E3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62D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伦理初审批件号</w:t>
            </w:r>
          </w:p>
        </w:tc>
        <w:tc>
          <w:tcPr>
            <w:tcW w:w="1871" w:type="dxa"/>
            <w:noWrap w:val="0"/>
            <w:vAlign w:val="center"/>
          </w:tcPr>
          <w:p w14:paraId="1927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CFC5B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/>
        <w:jc w:val="left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偏离/违背方案的情况</w:t>
      </w:r>
    </w:p>
    <w:p w14:paraId="41A6BF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偏离/重大违背方案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</w:t>
      </w:r>
    </w:p>
    <w:p w14:paraId="715FE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纳入不符合纳入标准的受试者：□ 是   □ 否</w:t>
      </w:r>
    </w:p>
    <w:p w14:paraId="5E184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研究过程中，符合提前中止研究标准而没有让受试者退出：□ 是   □ 否</w:t>
      </w:r>
    </w:p>
    <w:p w14:paraId="3F1C9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给予受试者错误的治疗或不正确的剂量：□ 是   □ 否</w:t>
      </w:r>
    </w:p>
    <w:p w14:paraId="39575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给予受试者方案禁用的合并用药：□ 是   □ 否</w:t>
      </w:r>
    </w:p>
    <w:p w14:paraId="23E97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任何偏离研究特定程序或评估，从而对受试者的权益、安全和健康，或对研究结果产</w:t>
      </w:r>
    </w:p>
    <w:p w14:paraId="2C65C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生显著影响的研究行为：□ 是   □ 否</w:t>
      </w:r>
    </w:p>
    <w:p w14:paraId="190F16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持续偏离/违背方案（不属于上述重大偏离/违背方案，但反复多次地偏离/违背方案）：□ 是   □ 否</w:t>
      </w:r>
    </w:p>
    <w:p w14:paraId="0A45EE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研究者不配合监察/稽查：□ 是   □ 否</w:t>
      </w:r>
    </w:p>
    <w:p w14:paraId="05D934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对违规事件不予以纠正： □ 是   □ 否</w:t>
      </w:r>
    </w:p>
    <w:p w14:paraId="5F70A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偏离/违背方案事件的描述：</w:t>
      </w:r>
    </w:p>
    <w:tbl>
      <w:tblPr>
        <w:tblStyle w:val="5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21DD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9" w:type="dxa"/>
            <w:noWrap w:val="0"/>
            <w:vAlign w:val="top"/>
          </w:tcPr>
          <w:p w14:paraId="2AE7E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660E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70638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/>
        <w:jc w:val="left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偏离/违背方案的影响</w:t>
      </w:r>
    </w:p>
    <w:p w14:paraId="1955BD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是否影响受试者的安全：□ 是   □ 否</w:t>
      </w:r>
    </w:p>
    <w:p w14:paraId="5B86DE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是否影响受试者的权益：□ 是   □ 否</w:t>
      </w:r>
    </w:p>
    <w:p w14:paraId="6A2D9A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是否对研究结果产生显著影响：□ 是   □ 否</w:t>
      </w:r>
    </w:p>
    <w:p w14:paraId="760FCD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/>
        <w:jc w:val="left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偏离/违背方案的处理措施</w:t>
      </w:r>
    </w:p>
    <w:tbl>
      <w:tblPr>
        <w:tblStyle w:val="5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2890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noWrap w:val="0"/>
            <w:vAlign w:val="top"/>
          </w:tcPr>
          <w:p w14:paraId="10F3B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F80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EEFE46C">
      <w:pPr>
        <w:ind w:right="210"/>
        <w:jc w:val="lef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638"/>
        <w:gridCol w:w="1650"/>
        <w:gridCol w:w="2317"/>
      </w:tblGrid>
      <w:tr w14:paraId="6FDF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81" w:type="dxa"/>
            <w:noWrap w:val="0"/>
            <w:vAlign w:val="center"/>
          </w:tcPr>
          <w:p w14:paraId="3F299A7F">
            <w:pPr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主要研究者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签名</w:t>
            </w:r>
          </w:p>
        </w:tc>
        <w:tc>
          <w:tcPr>
            <w:tcW w:w="2638" w:type="dxa"/>
            <w:noWrap w:val="0"/>
            <w:vAlign w:val="center"/>
          </w:tcPr>
          <w:p w14:paraId="3DADF65A">
            <w:pPr>
              <w:spacing w:line="360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71D18BF">
            <w:pPr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期</w:t>
            </w:r>
          </w:p>
        </w:tc>
        <w:tc>
          <w:tcPr>
            <w:tcW w:w="2317" w:type="dxa"/>
            <w:noWrap w:val="0"/>
            <w:vAlign w:val="center"/>
          </w:tcPr>
          <w:p w14:paraId="12EE4FD4">
            <w:pPr>
              <w:spacing w:line="360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</w:tr>
    </w:tbl>
    <w:p w14:paraId="44C816D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D4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7335">
    <w:pPr>
      <w:pStyle w:val="3"/>
      <w:rPr>
        <w:rFonts w:hint="default" w:eastAsiaTheme="minorEastAsia"/>
        <w:b w:val="0"/>
        <w:bCs w:val="0"/>
        <w:u w:val="single"/>
        <w:lang w:val="en-US" w:eastAsia="zh-CN"/>
      </w:rPr>
    </w:pP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 xml:space="preserve">铜陵市人民医院药物临床试验机构       </w:t>
    </w:r>
    <w:r>
      <w:rPr>
        <w:rFonts w:hint="eastAsia"/>
        <w:b w:val="0"/>
        <w:bCs w:val="0"/>
        <w:u w:val="single"/>
        <w:lang w:val="en-US" w:eastAsia="zh-CN"/>
      </w:rPr>
      <w:t xml:space="preserve">                               </w:t>
    </w: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>AF-JG-SOP-034-2.0 -01-1.0</w:t>
    </w:r>
  </w:p>
  <w:p w14:paraId="096BE71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9FC7B"/>
    <w:multiLevelType w:val="singleLevel"/>
    <w:tmpl w:val="5679FC7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67CF6AC"/>
    <w:multiLevelType w:val="singleLevel"/>
    <w:tmpl w:val="567CF6A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4AE3"/>
    <w:rsid w:val="190B13B2"/>
    <w:rsid w:val="22B32B8A"/>
    <w:rsid w:val="43C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 w:eastAsia="微软雅黑" w:cs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366</Characters>
  <Lines>0</Lines>
  <Paragraphs>0</Paragraphs>
  <TotalTime>0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2024-12-27T02:36:00Z</dcterms:created>
  <dc:creator>Yves Qick</dc:creator>
  <cp:lastModifiedBy>杰</cp:lastModifiedBy>
  <dcterms:modified xsi:type="dcterms:W3CDTF">2025-12-17T08:02:28Z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C934275B4B69471C9BD41C28CE18E5DB_11</vt:lpwstr>
  </property>
  <property fmtid="{D5CDD505-2E9C-101B-9397-08002B2CF9AE}" pid="4" name="KSOTemplateDocerSaveRecord">
    <vt:lpwstr>eyJoZGlkIjoiNDUxMzNhMzYwZTg5ZTdiNjc1NWFmYmUzYTUxZmFlNjEiLCJ1c2VySWQiOiI0Mjk0MjgwNDMifQ==</vt:lpwstr>
  </property>
</Properties>
</file>