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92852">
      <w:pPr>
        <w:jc w:val="center"/>
        <w:rPr>
          <w:rFonts w:hint="default" w:ascii="Times New Roman" w:hAnsi="Times New Roman" w:cs="Times New Roman"/>
          <w:b/>
          <w:bCs/>
          <w:sz w:val="21"/>
          <w:szCs w:val="21"/>
        </w:rPr>
      </w:pPr>
      <w:r>
        <w:rPr>
          <w:rFonts w:hint="eastAsia" w:ascii="Times New Roman" w:hAnsi="Times New Roman" w:cs="Times New Roman"/>
          <w:b/>
          <w:bCs/>
          <w:lang w:val="en-US" w:eastAsia="zh-CN"/>
        </w:rPr>
        <w:t>临床试验项目自查表</w:t>
      </w:r>
    </w:p>
    <w:tbl>
      <w:tblPr>
        <w:tblStyle w:val="5"/>
        <w:tblW w:w="8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8"/>
        <w:gridCol w:w="1500"/>
        <w:gridCol w:w="4025"/>
        <w:gridCol w:w="1134"/>
        <w:gridCol w:w="1275"/>
      </w:tblGrid>
      <w:tr w14:paraId="5D00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5" w:hRule="atLeast"/>
        </w:trPr>
        <w:tc>
          <w:tcPr>
            <w:tcW w:w="958" w:type="dxa"/>
            <w:shd w:val="clear" w:color="auto" w:fill="E7E6E6" w:themeFill="background2"/>
            <w:noWrap/>
            <w:vAlign w:val="center"/>
          </w:tcPr>
          <w:p w14:paraId="25CAFD9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
                <w:bCs/>
                <w:sz w:val="20"/>
                <w:szCs w:val="20"/>
                <w:lang w:val="en-US" w:eastAsia="zh-CN"/>
              </w:rPr>
            </w:pPr>
            <w:r>
              <w:rPr>
                <w:rFonts w:hint="default" w:ascii="Times New Roman" w:hAnsi="Times New Roman" w:cs="Times New Roman"/>
                <w:b/>
                <w:bCs/>
                <w:sz w:val="20"/>
                <w:szCs w:val="20"/>
                <w:lang w:val="en-US" w:eastAsia="zh-CN"/>
              </w:rPr>
              <w:t>1</w:t>
            </w:r>
          </w:p>
        </w:tc>
        <w:tc>
          <w:tcPr>
            <w:tcW w:w="5525" w:type="dxa"/>
            <w:gridSpan w:val="2"/>
            <w:shd w:val="clear" w:color="auto" w:fill="E7E6E6" w:themeFill="background2"/>
            <w:vAlign w:val="center"/>
          </w:tcPr>
          <w:p w14:paraId="67F655A9">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szCs w:val="21"/>
                <w:lang w:val="en-US"/>
              </w:rPr>
            </w:pPr>
            <w:r>
              <w:rPr>
                <w:rFonts w:hint="default" w:ascii="Times New Roman" w:hAnsi="Times New Roman" w:eastAsia="宋体" w:cs="Times New Roman"/>
                <w:b/>
                <w:bCs/>
                <w:kern w:val="2"/>
                <w:sz w:val="21"/>
                <w:szCs w:val="21"/>
                <w:lang w:val="en-US" w:eastAsia="zh-CN" w:bidi="ar"/>
              </w:rPr>
              <w:t>临床试验许可与条件</w:t>
            </w:r>
          </w:p>
        </w:tc>
        <w:tc>
          <w:tcPr>
            <w:tcW w:w="1134" w:type="dxa"/>
            <w:shd w:val="clear" w:color="auto" w:fill="E7E6E6" w:themeFill="background2"/>
            <w:vAlign w:val="center"/>
          </w:tcPr>
          <w:p w14:paraId="5D037658">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
                <w:bCs/>
                <w:szCs w:val="21"/>
                <w:lang w:val="en-US"/>
              </w:rPr>
            </w:pPr>
            <w:r>
              <w:rPr>
                <w:rFonts w:hint="default" w:ascii="Times New Roman" w:hAnsi="Times New Roman" w:eastAsia="宋体" w:cs="Times New Roman"/>
                <w:b/>
                <w:bCs/>
                <w:kern w:val="2"/>
                <w:sz w:val="21"/>
                <w:szCs w:val="21"/>
                <w:lang w:val="en-US" w:eastAsia="zh-CN" w:bidi="ar"/>
              </w:rPr>
              <w:t>填“√”或“×”</w:t>
            </w:r>
          </w:p>
        </w:tc>
        <w:tc>
          <w:tcPr>
            <w:tcW w:w="1275" w:type="dxa"/>
            <w:shd w:val="clear" w:color="auto" w:fill="E7E6E6" w:themeFill="background2"/>
            <w:noWrap/>
            <w:vAlign w:val="center"/>
          </w:tcPr>
          <w:p w14:paraId="2B9A6FEC">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
                <w:bCs/>
                <w:szCs w:val="21"/>
                <w:lang w:val="en-US"/>
              </w:rPr>
            </w:pPr>
            <w:r>
              <w:rPr>
                <w:rFonts w:hint="default" w:ascii="Times New Roman" w:hAnsi="Times New Roman" w:eastAsia="宋体" w:cs="Times New Roman"/>
                <w:b/>
                <w:bCs/>
                <w:kern w:val="2"/>
                <w:sz w:val="21"/>
                <w:szCs w:val="21"/>
                <w:lang w:val="en-US" w:eastAsia="zh-CN" w:bidi="ar"/>
              </w:rPr>
              <w:t>若为“×”，请备注原因</w:t>
            </w:r>
          </w:p>
        </w:tc>
      </w:tr>
      <w:tr w14:paraId="2AB5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8" w:type="dxa"/>
            <w:shd w:val="clear" w:color="auto" w:fill="auto"/>
            <w:vAlign w:val="center"/>
          </w:tcPr>
          <w:p w14:paraId="19C3B61B">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1.1</w:t>
            </w:r>
          </w:p>
        </w:tc>
        <w:tc>
          <w:tcPr>
            <w:tcW w:w="5525" w:type="dxa"/>
            <w:gridSpan w:val="2"/>
            <w:shd w:val="clear" w:color="auto" w:fill="auto"/>
            <w:vAlign w:val="center"/>
          </w:tcPr>
          <w:p w14:paraId="362EDE4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药品监督管理部门的许可/备案</w:t>
            </w:r>
            <w:r>
              <w:rPr>
                <w:rFonts w:hint="eastAsia" w:cs="Times New Roman"/>
                <w:kern w:val="2"/>
                <w:sz w:val="21"/>
                <w:szCs w:val="21"/>
                <w:lang w:val="en-US" w:eastAsia="zh-CN" w:bidi="ar"/>
              </w:rPr>
              <w:t>。</w:t>
            </w:r>
          </w:p>
        </w:tc>
        <w:tc>
          <w:tcPr>
            <w:tcW w:w="1134" w:type="dxa"/>
            <w:shd w:val="clear" w:color="auto" w:fill="auto"/>
            <w:noWrap/>
            <w:vAlign w:val="bottom"/>
          </w:tcPr>
          <w:p w14:paraId="7FEA5C1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shd w:val="clear" w:color="auto" w:fill="auto"/>
            <w:vAlign w:val="center"/>
          </w:tcPr>
          <w:p w14:paraId="1DCACFF1">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r>
      <w:tr w14:paraId="7A31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trPr>
        <w:tc>
          <w:tcPr>
            <w:tcW w:w="958" w:type="dxa"/>
            <w:shd w:val="clear" w:color="auto" w:fill="auto"/>
            <w:vAlign w:val="center"/>
          </w:tcPr>
          <w:p w14:paraId="576973CC">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1.2</w:t>
            </w:r>
          </w:p>
        </w:tc>
        <w:tc>
          <w:tcPr>
            <w:tcW w:w="5525" w:type="dxa"/>
            <w:gridSpan w:val="2"/>
            <w:shd w:val="clear" w:color="auto" w:fill="auto"/>
            <w:vAlign w:val="center"/>
          </w:tcPr>
          <w:p w14:paraId="71A40350">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具有药物临床试验伦理委员会批件。</w:t>
            </w:r>
          </w:p>
        </w:tc>
        <w:tc>
          <w:tcPr>
            <w:tcW w:w="1134" w:type="dxa"/>
            <w:shd w:val="clear" w:color="auto" w:fill="auto"/>
            <w:noWrap/>
            <w:vAlign w:val="bottom"/>
          </w:tcPr>
          <w:p w14:paraId="35396979">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c>
          <w:tcPr>
            <w:tcW w:w="1275" w:type="dxa"/>
            <w:shd w:val="clear" w:color="auto" w:fill="auto"/>
            <w:noWrap/>
            <w:vAlign w:val="bottom"/>
          </w:tcPr>
          <w:p w14:paraId="53E1AC6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r>
      <w:tr w14:paraId="2DDB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958" w:type="dxa"/>
            <w:shd w:val="clear" w:color="auto" w:fill="auto"/>
            <w:vAlign w:val="center"/>
          </w:tcPr>
          <w:p w14:paraId="1B96D7D2">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1.3</w:t>
            </w:r>
          </w:p>
        </w:tc>
        <w:tc>
          <w:tcPr>
            <w:tcW w:w="5525" w:type="dxa"/>
            <w:gridSpan w:val="2"/>
            <w:shd w:val="clear" w:color="auto" w:fill="auto"/>
            <w:vAlign w:val="center"/>
          </w:tcPr>
          <w:p w14:paraId="4ECE937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药物临床试验开始实施时间与许可/备案时间逻辑相符</w:t>
            </w:r>
            <w:r>
              <w:rPr>
                <w:rFonts w:hint="eastAsia" w:cs="Times New Roman"/>
                <w:kern w:val="2"/>
                <w:sz w:val="21"/>
                <w:szCs w:val="21"/>
                <w:lang w:val="en-US" w:eastAsia="zh-CN" w:bidi="ar"/>
              </w:rPr>
              <w:t>。</w:t>
            </w:r>
          </w:p>
        </w:tc>
        <w:tc>
          <w:tcPr>
            <w:tcW w:w="1134" w:type="dxa"/>
            <w:shd w:val="clear" w:color="auto" w:fill="auto"/>
            <w:noWrap/>
            <w:vAlign w:val="bottom"/>
          </w:tcPr>
          <w:p w14:paraId="55A75BB1">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c>
          <w:tcPr>
            <w:tcW w:w="1275" w:type="dxa"/>
            <w:shd w:val="clear" w:color="auto" w:fill="auto"/>
            <w:noWrap/>
            <w:vAlign w:val="bottom"/>
          </w:tcPr>
          <w:p w14:paraId="2FD25519">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r>
      <w:tr w14:paraId="6F4A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8" w:type="dxa"/>
            <w:shd w:val="clear" w:color="auto" w:fill="auto"/>
            <w:vAlign w:val="center"/>
          </w:tcPr>
          <w:p w14:paraId="43A272F0">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1.4</w:t>
            </w:r>
          </w:p>
        </w:tc>
        <w:tc>
          <w:tcPr>
            <w:tcW w:w="5525" w:type="dxa"/>
            <w:gridSpan w:val="2"/>
            <w:shd w:val="clear" w:color="auto" w:fill="auto"/>
            <w:vAlign w:val="center"/>
          </w:tcPr>
          <w:p w14:paraId="26BB38A3">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药物临床试验开始实施时间不早于启动会通知函时间</w:t>
            </w:r>
            <w:r>
              <w:rPr>
                <w:rFonts w:hint="eastAsia" w:cs="Times New Roman"/>
                <w:kern w:val="2"/>
                <w:sz w:val="21"/>
                <w:szCs w:val="21"/>
                <w:lang w:val="en-US" w:eastAsia="zh-CN" w:bidi="ar"/>
              </w:rPr>
              <w:t>。</w:t>
            </w:r>
          </w:p>
        </w:tc>
        <w:tc>
          <w:tcPr>
            <w:tcW w:w="1134" w:type="dxa"/>
            <w:shd w:val="clear" w:color="auto" w:fill="auto"/>
            <w:noWrap/>
            <w:vAlign w:val="bottom"/>
          </w:tcPr>
          <w:p w14:paraId="730CD805">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c>
          <w:tcPr>
            <w:tcW w:w="1275" w:type="dxa"/>
            <w:shd w:val="clear" w:color="auto" w:fill="auto"/>
            <w:noWrap/>
            <w:vAlign w:val="bottom"/>
          </w:tcPr>
          <w:p w14:paraId="259B52DA">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r>
      <w:tr w14:paraId="7E28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0" w:hRule="atLeast"/>
        </w:trPr>
        <w:tc>
          <w:tcPr>
            <w:tcW w:w="958" w:type="dxa"/>
            <w:shd w:val="clear" w:color="auto" w:fill="auto"/>
            <w:vAlign w:val="center"/>
          </w:tcPr>
          <w:p w14:paraId="319A9B79">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1.5</w:t>
            </w:r>
          </w:p>
        </w:tc>
        <w:tc>
          <w:tcPr>
            <w:tcW w:w="5525" w:type="dxa"/>
            <w:gridSpan w:val="2"/>
            <w:shd w:val="clear" w:color="auto" w:fill="auto"/>
            <w:vAlign w:val="center"/>
          </w:tcPr>
          <w:p w14:paraId="6A1DC854">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eastAsia="zh-CN"/>
              </w:rPr>
            </w:pPr>
            <w:r>
              <w:rPr>
                <w:rFonts w:hint="default" w:ascii="Times New Roman" w:hAnsi="Times New Roman" w:eastAsia="宋体" w:cs="Times New Roman"/>
                <w:kern w:val="2"/>
                <w:sz w:val="21"/>
                <w:szCs w:val="21"/>
                <w:lang w:val="en-US" w:eastAsia="zh-CN" w:bidi="ar"/>
              </w:rPr>
              <w:t>药物临床试验在具备相应条件并按规定备案的药物临床试验机构开展。其中,疫苗临床试验应当由符合NMPA规定的三级医疗机构或者省级以上疾病预防控制机构实施或者组织实施。</w:t>
            </w:r>
          </w:p>
        </w:tc>
        <w:tc>
          <w:tcPr>
            <w:tcW w:w="1134" w:type="dxa"/>
            <w:shd w:val="clear" w:color="auto" w:fill="auto"/>
            <w:noWrap/>
            <w:vAlign w:val="bottom"/>
          </w:tcPr>
          <w:p w14:paraId="551B27F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c>
          <w:tcPr>
            <w:tcW w:w="1275" w:type="dxa"/>
            <w:shd w:val="clear" w:color="auto" w:fill="auto"/>
            <w:noWrap/>
            <w:vAlign w:val="bottom"/>
          </w:tcPr>
          <w:p w14:paraId="7ADC805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r>
      <w:tr w14:paraId="5EFC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58" w:type="dxa"/>
            <w:shd w:val="clear" w:color="auto" w:fill="auto"/>
            <w:vAlign w:val="center"/>
          </w:tcPr>
          <w:p w14:paraId="595B2CA2">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1.6</w:t>
            </w:r>
          </w:p>
        </w:tc>
        <w:tc>
          <w:tcPr>
            <w:tcW w:w="5525" w:type="dxa"/>
            <w:gridSpan w:val="2"/>
            <w:shd w:val="clear" w:color="auto" w:fill="auto"/>
            <w:vAlign w:val="center"/>
          </w:tcPr>
          <w:p w14:paraId="575F564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研究者、药物临床试验机构与申办者在试验开始前签署临床试验合同，对相关的责任义务进行约定。</w:t>
            </w:r>
          </w:p>
        </w:tc>
        <w:tc>
          <w:tcPr>
            <w:tcW w:w="1134" w:type="dxa"/>
            <w:shd w:val="clear" w:color="auto" w:fill="auto"/>
            <w:noWrap/>
            <w:vAlign w:val="bottom"/>
          </w:tcPr>
          <w:p w14:paraId="659B12B8">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c>
          <w:tcPr>
            <w:tcW w:w="1275" w:type="dxa"/>
            <w:shd w:val="clear" w:color="auto" w:fill="auto"/>
            <w:noWrap/>
            <w:vAlign w:val="bottom"/>
          </w:tcPr>
          <w:p w14:paraId="5349067A">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r>
      <w:tr w14:paraId="0C56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58" w:type="dxa"/>
            <w:shd w:val="clear" w:color="auto" w:fill="auto"/>
            <w:vAlign w:val="center"/>
          </w:tcPr>
          <w:p w14:paraId="6568A1EA">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1.7</w:t>
            </w:r>
          </w:p>
        </w:tc>
        <w:tc>
          <w:tcPr>
            <w:tcW w:w="5525" w:type="dxa"/>
            <w:gridSpan w:val="2"/>
            <w:shd w:val="clear" w:color="auto" w:fill="auto"/>
            <w:vAlign w:val="center"/>
          </w:tcPr>
          <w:p w14:paraId="00FCE5E3">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配备与所承担药物临床试验相适应的研究者，研究者具备与开展工作相适应的资质和能力，职责、分工、培训、授权清晰合理。</w:t>
            </w:r>
          </w:p>
        </w:tc>
        <w:tc>
          <w:tcPr>
            <w:tcW w:w="1134" w:type="dxa"/>
            <w:shd w:val="clear" w:color="auto" w:fill="auto"/>
            <w:noWrap/>
            <w:vAlign w:val="bottom"/>
          </w:tcPr>
          <w:p w14:paraId="7DC0C8C6">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c>
          <w:tcPr>
            <w:tcW w:w="1275" w:type="dxa"/>
            <w:shd w:val="clear" w:color="auto" w:fill="auto"/>
            <w:noWrap/>
            <w:vAlign w:val="bottom"/>
          </w:tcPr>
          <w:p w14:paraId="2ACACBFC">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r>
      <w:tr w14:paraId="6F9A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58" w:type="dxa"/>
            <w:shd w:val="clear" w:color="auto" w:fill="auto"/>
            <w:vAlign w:val="center"/>
          </w:tcPr>
          <w:p w14:paraId="3AF97C33">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1.8</w:t>
            </w:r>
          </w:p>
        </w:tc>
        <w:tc>
          <w:tcPr>
            <w:tcW w:w="5525" w:type="dxa"/>
            <w:gridSpan w:val="2"/>
            <w:shd w:val="clear" w:color="auto" w:fill="auto"/>
            <w:vAlign w:val="center"/>
          </w:tcPr>
          <w:p w14:paraId="08E40668">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被授权人员得到与授权内容相应的培训，并备药物临床试验所需的专业知识、培训经历和技术能力。（具备培训记录、签到表等）</w:t>
            </w:r>
          </w:p>
        </w:tc>
        <w:tc>
          <w:tcPr>
            <w:tcW w:w="1134" w:type="dxa"/>
            <w:shd w:val="clear" w:color="auto" w:fill="auto"/>
            <w:noWrap/>
            <w:vAlign w:val="bottom"/>
          </w:tcPr>
          <w:p w14:paraId="5041442F">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c>
          <w:tcPr>
            <w:tcW w:w="1275" w:type="dxa"/>
            <w:shd w:val="clear" w:color="auto" w:fill="auto"/>
            <w:noWrap/>
            <w:vAlign w:val="bottom"/>
          </w:tcPr>
          <w:p w14:paraId="2E5FAB33">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r>
      <w:tr w14:paraId="3935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8" w:type="dxa"/>
            <w:shd w:val="clear" w:color="auto" w:fill="auto"/>
            <w:vAlign w:val="center"/>
          </w:tcPr>
          <w:p w14:paraId="2848C263">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1.9</w:t>
            </w:r>
          </w:p>
        </w:tc>
        <w:tc>
          <w:tcPr>
            <w:tcW w:w="5525" w:type="dxa"/>
            <w:gridSpan w:val="2"/>
            <w:shd w:val="clear" w:color="auto" w:fill="auto"/>
            <w:vAlign w:val="center"/>
          </w:tcPr>
          <w:p w14:paraId="3EFEACD8">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对受试者的相关医学判断和处理由具有执业资格的研究者执行并记录。</w:t>
            </w:r>
          </w:p>
        </w:tc>
        <w:tc>
          <w:tcPr>
            <w:tcW w:w="1134" w:type="dxa"/>
            <w:shd w:val="clear" w:color="auto" w:fill="auto"/>
            <w:noWrap/>
            <w:vAlign w:val="bottom"/>
          </w:tcPr>
          <w:p w14:paraId="28FF2467">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c>
          <w:tcPr>
            <w:tcW w:w="1275" w:type="dxa"/>
            <w:shd w:val="clear" w:color="auto" w:fill="auto"/>
            <w:noWrap/>
            <w:vAlign w:val="bottom"/>
          </w:tcPr>
          <w:p w14:paraId="50FAC620">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r>
      <w:tr w14:paraId="45D7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958" w:type="dxa"/>
            <w:shd w:val="clear" w:color="auto" w:fill="auto"/>
            <w:vAlign w:val="center"/>
          </w:tcPr>
          <w:p w14:paraId="1E19A476">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1.10</w:t>
            </w:r>
          </w:p>
        </w:tc>
        <w:tc>
          <w:tcPr>
            <w:tcW w:w="5525" w:type="dxa"/>
            <w:gridSpan w:val="2"/>
            <w:shd w:val="clear" w:color="auto" w:fill="auto"/>
            <w:vAlign w:val="center"/>
          </w:tcPr>
          <w:p w14:paraId="5A26DB8A">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医疗机构临床实验室应保证检测系统的完整性和有效性，对需要校准的检验仪器、检验项目和对临床检验结果有影响的辅助设备定期进行校准。</w:t>
            </w:r>
          </w:p>
        </w:tc>
        <w:tc>
          <w:tcPr>
            <w:tcW w:w="1134" w:type="dxa"/>
            <w:shd w:val="clear" w:color="auto" w:fill="auto"/>
            <w:noWrap/>
            <w:vAlign w:val="bottom"/>
          </w:tcPr>
          <w:p w14:paraId="4D04B04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c>
          <w:tcPr>
            <w:tcW w:w="1275" w:type="dxa"/>
            <w:shd w:val="clear" w:color="auto" w:fill="auto"/>
            <w:noWrap/>
            <w:vAlign w:val="bottom"/>
          </w:tcPr>
          <w:p w14:paraId="4912A9F7">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r>
      <w:tr w14:paraId="557E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5" w:hRule="atLeast"/>
        </w:trPr>
        <w:tc>
          <w:tcPr>
            <w:tcW w:w="958" w:type="dxa"/>
            <w:shd w:val="clear" w:color="auto" w:fill="auto"/>
            <w:vAlign w:val="center"/>
          </w:tcPr>
          <w:p w14:paraId="416148BE">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1.11</w:t>
            </w:r>
          </w:p>
        </w:tc>
        <w:tc>
          <w:tcPr>
            <w:tcW w:w="5525" w:type="dxa"/>
            <w:gridSpan w:val="2"/>
            <w:shd w:val="clear" w:color="auto" w:fill="auto"/>
            <w:vAlign w:val="center"/>
          </w:tcPr>
          <w:p w14:paraId="59194499">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医疗机构临床实验室具有经国家卫生健康部门认定的室间质量评价机构组织的临床检验室间质量评价。</w:t>
            </w:r>
          </w:p>
        </w:tc>
        <w:tc>
          <w:tcPr>
            <w:tcW w:w="1134" w:type="dxa"/>
            <w:shd w:val="clear" w:color="auto" w:fill="auto"/>
            <w:noWrap/>
            <w:vAlign w:val="bottom"/>
          </w:tcPr>
          <w:p w14:paraId="17803308">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c>
          <w:tcPr>
            <w:tcW w:w="1275" w:type="dxa"/>
            <w:shd w:val="clear" w:color="auto" w:fill="auto"/>
            <w:noWrap/>
            <w:vAlign w:val="bottom"/>
          </w:tcPr>
          <w:p w14:paraId="70657719">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szCs w:val="21"/>
                <w:lang w:val="en-US"/>
              </w:rPr>
            </w:pPr>
            <w:r>
              <w:rPr>
                <w:rFonts w:hint="default" w:ascii="Times New Roman" w:hAnsi="Times New Roman" w:eastAsia="宋体" w:cs="Times New Roman"/>
                <w:kern w:val="2"/>
                <w:sz w:val="21"/>
                <w:szCs w:val="21"/>
                <w:lang w:val="en-US" w:eastAsia="zh-CN" w:bidi="ar"/>
              </w:rPr>
              <w:t>　</w:t>
            </w:r>
          </w:p>
        </w:tc>
      </w:tr>
      <w:tr w14:paraId="7B82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958" w:type="dxa"/>
            <w:shd w:val="clear" w:color="auto" w:fill="E7E6E6" w:themeFill="background2"/>
            <w:vAlign w:val="center"/>
          </w:tcPr>
          <w:p w14:paraId="536F19E1">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lang w:val="en-US"/>
              </w:rPr>
            </w:pPr>
            <w:r>
              <w:rPr>
                <w:rFonts w:hint="default" w:ascii="Times New Roman" w:hAnsi="Times New Roman" w:eastAsia="宋体" w:cs="Times New Roman"/>
                <w:b/>
                <w:bCs/>
                <w:kern w:val="2"/>
                <w:sz w:val="21"/>
                <w:szCs w:val="22"/>
                <w:lang w:val="en-US" w:eastAsia="zh-CN" w:bidi="ar"/>
              </w:rPr>
              <w:t>2</w:t>
            </w:r>
          </w:p>
        </w:tc>
        <w:tc>
          <w:tcPr>
            <w:tcW w:w="5525" w:type="dxa"/>
            <w:gridSpan w:val="2"/>
            <w:shd w:val="clear" w:color="auto" w:fill="E7E6E6" w:themeFill="background2"/>
            <w:vAlign w:val="center"/>
          </w:tcPr>
          <w:p w14:paraId="0D7E20A8">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
                <w:bCs/>
                <w:lang w:val="en-US"/>
              </w:rPr>
            </w:pPr>
            <w:r>
              <w:rPr>
                <w:rFonts w:hint="default" w:ascii="Times New Roman" w:hAnsi="Times New Roman" w:eastAsia="宋体" w:cs="Times New Roman"/>
                <w:b/>
                <w:bCs/>
                <w:kern w:val="2"/>
                <w:sz w:val="21"/>
                <w:szCs w:val="22"/>
                <w:lang w:val="en-US" w:eastAsia="zh-CN" w:bidi="ar"/>
              </w:rPr>
              <w:t>伦理审查</w:t>
            </w:r>
          </w:p>
        </w:tc>
        <w:tc>
          <w:tcPr>
            <w:tcW w:w="1134" w:type="dxa"/>
            <w:shd w:val="clear" w:color="auto" w:fill="E7E6E6" w:themeFill="background2"/>
            <w:noWrap/>
            <w:vAlign w:val="bottom"/>
          </w:tcPr>
          <w:p w14:paraId="02FD9FFA">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shd w:val="clear" w:color="auto" w:fill="E7E6E6" w:themeFill="background2"/>
            <w:noWrap/>
            <w:vAlign w:val="bottom"/>
          </w:tcPr>
          <w:p w14:paraId="4CBFC734">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18BC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958" w:type="dxa"/>
            <w:shd w:val="clear" w:color="auto" w:fill="auto"/>
            <w:vAlign w:val="center"/>
          </w:tcPr>
          <w:p w14:paraId="12312016">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2.1</w:t>
            </w:r>
          </w:p>
        </w:tc>
        <w:tc>
          <w:tcPr>
            <w:tcW w:w="5525" w:type="dxa"/>
            <w:gridSpan w:val="2"/>
            <w:shd w:val="clear" w:color="auto" w:fill="auto"/>
            <w:vAlign w:val="center"/>
          </w:tcPr>
          <w:p w14:paraId="362A6A7C">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试验方案、知情同意书、招募广告及其修订版等获得伦理委员会批准，文件资料应当注明版本号及版本日期。</w:t>
            </w:r>
          </w:p>
        </w:tc>
        <w:tc>
          <w:tcPr>
            <w:tcW w:w="1134" w:type="dxa"/>
            <w:shd w:val="clear" w:color="auto" w:fill="auto"/>
            <w:noWrap/>
            <w:vAlign w:val="bottom"/>
          </w:tcPr>
          <w:p w14:paraId="54BE5C2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shd w:val="clear" w:color="auto" w:fill="auto"/>
            <w:noWrap/>
            <w:vAlign w:val="bottom"/>
          </w:tcPr>
          <w:p w14:paraId="1804913F">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0AF58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8" w:type="dxa"/>
            <w:tcBorders>
              <w:top w:val="single" w:color="auto" w:sz="4" w:space="0"/>
              <w:left w:val="single" w:color="auto" w:sz="4" w:space="0"/>
              <w:bottom w:val="single" w:color="auto" w:sz="8" w:space="0"/>
              <w:right w:val="single" w:color="auto" w:sz="4" w:space="0"/>
            </w:tcBorders>
            <w:shd w:val="clear" w:color="auto" w:fill="auto"/>
            <w:noWrap/>
            <w:vAlign w:val="center"/>
          </w:tcPr>
          <w:p w14:paraId="4046890C">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2.2</w:t>
            </w:r>
          </w:p>
        </w:tc>
        <w:tc>
          <w:tcPr>
            <w:tcW w:w="5525" w:type="dxa"/>
            <w:gridSpan w:val="2"/>
            <w:tcBorders>
              <w:top w:val="single" w:color="auto" w:sz="4" w:space="0"/>
              <w:left w:val="single" w:color="auto" w:sz="4" w:space="0"/>
              <w:bottom w:val="single" w:color="auto" w:sz="8" w:space="0"/>
              <w:right w:val="nil"/>
            </w:tcBorders>
            <w:shd w:val="clear" w:color="auto" w:fill="auto"/>
            <w:vAlign w:val="center"/>
          </w:tcPr>
          <w:p w14:paraId="1EB7FDB0">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方案违背、年度报告等情况及时向伦理委员会报告</w:t>
            </w:r>
          </w:p>
        </w:tc>
        <w:tc>
          <w:tcPr>
            <w:tcW w:w="1134" w:type="dxa"/>
            <w:tcBorders>
              <w:top w:val="nil"/>
              <w:left w:val="single" w:color="auto" w:sz="4" w:space="0"/>
              <w:bottom w:val="single" w:color="auto" w:sz="4" w:space="0"/>
              <w:right w:val="single" w:color="auto" w:sz="4" w:space="0"/>
            </w:tcBorders>
            <w:shd w:val="clear" w:color="auto" w:fill="auto"/>
            <w:noWrap/>
            <w:vAlign w:val="bottom"/>
          </w:tcPr>
          <w:p w14:paraId="7469F140">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01AB517A">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66257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58" w:type="dxa"/>
            <w:tcBorders>
              <w:top w:val="single" w:color="auto" w:sz="8" w:space="0"/>
              <w:left w:val="single" w:color="auto" w:sz="8" w:space="0"/>
              <w:bottom w:val="single" w:color="auto" w:sz="8" w:space="0"/>
              <w:right w:val="nil"/>
            </w:tcBorders>
            <w:shd w:val="clear" w:color="auto" w:fill="E7E6E6" w:themeFill="background2"/>
            <w:noWrap/>
            <w:vAlign w:val="center"/>
          </w:tcPr>
          <w:p w14:paraId="0E5019A0">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szCs w:val="22"/>
                <w:lang w:val="en-US" w:bidi="ar"/>
              </w:rPr>
            </w:pPr>
            <w:r>
              <w:rPr>
                <w:rFonts w:hint="default" w:ascii="Times New Roman" w:hAnsi="Times New Roman" w:eastAsia="宋体" w:cs="Times New Roman"/>
                <w:b/>
                <w:bCs/>
                <w:kern w:val="2"/>
                <w:sz w:val="21"/>
                <w:szCs w:val="22"/>
                <w:lang w:val="en-US" w:eastAsia="zh-CN" w:bidi="ar"/>
              </w:rPr>
              <w:t>3</w:t>
            </w:r>
          </w:p>
        </w:tc>
        <w:tc>
          <w:tcPr>
            <w:tcW w:w="5525" w:type="dxa"/>
            <w:gridSpan w:val="2"/>
            <w:tcBorders>
              <w:top w:val="single" w:color="auto" w:sz="8" w:space="0"/>
              <w:left w:val="single" w:color="auto" w:sz="8" w:space="0"/>
              <w:bottom w:val="single" w:color="auto" w:sz="8" w:space="0"/>
              <w:right w:val="nil"/>
            </w:tcBorders>
            <w:shd w:val="clear" w:color="auto" w:fill="E7E6E6" w:themeFill="background2"/>
            <w:vAlign w:val="center"/>
          </w:tcPr>
          <w:p w14:paraId="5DB1D9B7">
            <w:pPr>
              <w:keepNext w:val="0"/>
              <w:keepLines w:val="0"/>
              <w:widowControl w:val="0"/>
              <w:suppressLineNumbers w:val="0"/>
              <w:spacing w:before="0" w:beforeAutospacing="0" w:after="0" w:afterAutospacing="0" w:line="400" w:lineRule="exact"/>
              <w:ind w:left="0" w:right="0"/>
              <w:jc w:val="left"/>
              <w:rPr>
                <w:rFonts w:hint="default" w:ascii="Times New Roman" w:hAnsi="Times New Roman" w:eastAsia="宋体" w:cs="Times New Roman"/>
                <w:b/>
                <w:bCs/>
                <w:szCs w:val="22"/>
                <w:lang w:val="en-US" w:bidi="ar"/>
              </w:rPr>
            </w:pPr>
            <w:r>
              <w:rPr>
                <w:rFonts w:hint="default" w:ascii="Times New Roman" w:hAnsi="Times New Roman" w:eastAsia="宋体" w:cs="Times New Roman"/>
                <w:b/>
                <w:bCs/>
                <w:kern w:val="2"/>
                <w:sz w:val="21"/>
                <w:szCs w:val="22"/>
                <w:lang w:val="en-US" w:eastAsia="zh-CN" w:bidi="ar"/>
              </w:rPr>
              <w:t>临床试验实施过程</w:t>
            </w:r>
          </w:p>
        </w:tc>
        <w:tc>
          <w:tcPr>
            <w:tcW w:w="1134" w:type="dxa"/>
            <w:tcBorders>
              <w:top w:val="nil"/>
              <w:left w:val="single" w:color="auto" w:sz="4" w:space="0"/>
              <w:bottom w:val="single" w:color="auto" w:sz="4" w:space="0"/>
              <w:right w:val="single" w:color="auto" w:sz="4" w:space="0"/>
            </w:tcBorders>
            <w:shd w:val="clear" w:color="auto" w:fill="E7E6E6" w:themeFill="background2"/>
            <w:noWrap/>
            <w:vAlign w:val="bottom"/>
          </w:tcPr>
          <w:p w14:paraId="4DE2857B">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szCs w:val="22"/>
                <w:lang w:val="en-US" w:bidi="ar"/>
              </w:rPr>
            </w:pPr>
            <w:r>
              <w:rPr>
                <w:rFonts w:hint="default" w:ascii="Times New Roman" w:hAnsi="Times New Roman" w:eastAsia="宋体" w:cs="Times New Roman"/>
                <w:b/>
                <w:bCs/>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E7E6E6" w:themeFill="background2"/>
            <w:noWrap/>
            <w:vAlign w:val="bottom"/>
          </w:tcPr>
          <w:p w14:paraId="3C593C72">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szCs w:val="22"/>
                <w:lang w:val="en-US" w:bidi="ar"/>
              </w:rPr>
            </w:pPr>
            <w:r>
              <w:rPr>
                <w:rFonts w:hint="default" w:ascii="Times New Roman" w:hAnsi="Times New Roman" w:eastAsia="宋体" w:cs="Times New Roman"/>
                <w:b/>
                <w:bCs/>
                <w:kern w:val="2"/>
                <w:sz w:val="21"/>
                <w:szCs w:val="22"/>
                <w:lang w:val="en-US" w:eastAsia="zh-CN" w:bidi="ar"/>
              </w:rPr>
              <w:t>　</w:t>
            </w:r>
          </w:p>
        </w:tc>
      </w:tr>
      <w:tr w14:paraId="2617B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8" w:type="dxa"/>
            <w:tcBorders>
              <w:top w:val="nil"/>
              <w:left w:val="single" w:color="auto" w:sz="8" w:space="0"/>
              <w:bottom w:val="single" w:color="auto" w:sz="4" w:space="0"/>
              <w:right w:val="single" w:color="auto" w:sz="4" w:space="0"/>
            </w:tcBorders>
            <w:shd w:val="clear" w:color="auto" w:fill="auto"/>
            <w:vAlign w:val="center"/>
          </w:tcPr>
          <w:p w14:paraId="50D51EC2">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3.1</w:t>
            </w:r>
          </w:p>
        </w:tc>
        <w:tc>
          <w:tcPr>
            <w:tcW w:w="5525" w:type="dxa"/>
            <w:gridSpan w:val="2"/>
            <w:tcBorders>
              <w:top w:val="nil"/>
              <w:left w:val="nil"/>
              <w:bottom w:val="single" w:color="auto" w:sz="4" w:space="0"/>
              <w:right w:val="nil"/>
            </w:tcBorders>
            <w:shd w:val="clear" w:color="auto" w:fill="auto"/>
            <w:vAlign w:val="center"/>
          </w:tcPr>
          <w:p w14:paraId="46603A4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知情同意书的签署</w:t>
            </w:r>
          </w:p>
        </w:tc>
        <w:tc>
          <w:tcPr>
            <w:tcW w:w="1134" w:type="dxa"/>
            <w:tcBorders>
              <w:top w:val="nil"/>
              <w:left w:val="single" w:color="auto" w:sz="4" w:space="0"/>
              <w:bottom w:val="single" w:color="auto" w:sz="4" w:space="0"/>
              <w:right w:val="single" w:color="auto" w:sz="4" w:space="0"/>
            </w:tcBorders>
            <w:shd w:val="clear" w:color="auto" w:fill="auto"/>
            <w:noWrap/>
            <w:vAlign w:val="bottom"/>
          </w:tcPr>
          <w:p w14:paraId="46D5600C">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5D93CE33">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13584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54AED8A0">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3.1.1</w:t>
            </w:r>
          </w:p>
        </w:tc>
        <w:tc>
          <w:tcPr>
            <w:tcW w:w="5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849EB0">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研究者应当使用最新版的知情同意书。如有必要，药物临床试验过程中的受试者应当再次签署知情同意书。</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16DFE114">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61E6E580">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1C945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nil"/>
              <w:left w:val="single" w:color="auto" w:sz="8" w:space="0"/>
              <w:bottom w:val="single" w:color="auto" w:sz="4" w:space="0"/>
              <w:right w:val="single" w:color="auto" w:sz="4" w:space="0"/>
            </w:tcBorders>
            <w:shd w:val="clear" w:color="auto" w:fill="auto"/>
            <w:vAlign w:val="center"/>
          </w:tcPr>
          <w:p w14:paraId="11EFB685">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3.1.2</w:t>
            </w:r>
          </w:p>
        </w:tc>
        <w:tc>
          <w:tcPr>
            <w:tcW w:w="5525" w:type="dxa"/>
            <w:gridSpan w:val="2"/>
            <w:tcBorders>
              <w:top w:val="nil"/>
              <w:left w:val="single" w:color="auto" w:sz="4" w:space="0"/>
              <w:bottom w:val="single" w:color="auto" w:sz="4" w:space="0"/>
              <w:right w:val="single" w:color="auto" w:sz="4" w:space="0"/>
            </w:tcBorders>
            <w:shd w:val="clear" w:color="auto" w:fill="auto"/>
            <w:vAlign w:val="center"/>
          </w:tcPr>
          <w:p w14:paraId="2E62784C">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受试者签署的知情同意书应当内容完整、规范，符合GCP要求；知情同意过程应当记录完整。</w:t>
            </w:r>
          </w:p>
        </w:tc>
        <w:tc>
          <w:tcPr>
            <w:tcW w:w="1134" w:type="dxa"/>
            <w:tcBorders>
              <w:top w:val="nil"/>
              <w:left w:val="nil"/>
              <w:bottom w:val="single" w:color="auto" w:sz="4" w:space="0"/>
              <w:right w:val="single" w:color="auto" w:sz="4" w:space="0"/>
            </w:tcBorders>
            <w:shd w:val="clear" w:color="auto" w:fill="auto"/>
            <w:noWrap/>
            <w:vAlign w:val="bottom"/>
          </w:tcPr>
          <w:p w14:paraId="51EA58A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692240D6">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7B1CD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nil"/>
              <w:left w:val="single" w:color="auto" w:sz="8" w:space="0"/>
              <w:bottom w:val="single" w:color="auto" w:sz="4" w:space="0"/>
              <w:right w:val="single" w:color="auto" w:sz="4" w:space="0"/>
            </w:tcBorders>
            <w:shd w:val="clear" w:color="auto" w:fill="auto"/>
            <w:vAlign w:val="center"/>
          </w:tcPr>
          <w:p w14:paraId="458830A0">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3.1.3</w:t>
            </w:r>
          </w:p>
        </w:tc>
        <w:tc>
          <w:tcPr>
            <w:tcW w:w="5525" w:type="dxa"/>
            <w:gridSpan w:val="2"/>
            <w:tcBorders>
              <w:top w:val="nil"/>
              <w:left w:val="single" w:color="auto" w:sz="4" w:space="0"/>
              <w:bottom w:val="single" w:color="auto" w:sz="4" w:space="0"/>
              <w:right w:val="single" w:color="auto" w:sz="4" w:space="0"/>
            </w:tcBorders>
            <w:shd w:val="clear" w:color="auto" w:fill="auto"/>
            <w:vAlign w:val="center"/>
          </w:tcPr>
          <w:p w14:paraId="4CE59CD1">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知情同意书的版本、签署者的签字（或手印）、签署时间等应符合GCP要求。</w:t>
            </w:r>
          </w:p>
        </w:tc>
        <w:tc>
          <w:tcPr>
            <w:tcW w:w="1134" w:type="dxa"/>
            <w:tcBorders>
              <w:top w:val="nil"/>
              <w:left w:val="nil"/>
              <w:bottom w:val="single" w:color="auto" w:sz="4" w:space="0"/>
              <w:right w:val="single" w:color="auto" w:sz="4" w:space="0"/>
            </w:tcBorders>
            <w:shd w:val="clear" w:color="auto" w:fill="auto"/>
            <w:noWrap/>
            <w:vAlign w:val="bottom"/>
          </w:tcPr>
          <w:p w14:paraId="0CEDDED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02EFDC75">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01750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8" w:type="dxa"/>
            <w:tcBorders>
              <w:top w:val="nil"/>
              <w:left w:val="single" w:color="auto" w:sz="8" w:space="0"/>
              <w:bottom w:val="single" w:color="auto" w:sz="4" w:space="0"/>
              <w:right w:val="single" w:color="auto" w:sz="4" w:space="0"/>
            </w:tcBorders>
            <w:shd w:val="clear" w:color="auto" w:fill="auto"/>
            <w:vAlign w:val="center"/>
          </w:tcPr>
          <w:p w14:paraId="34F3D2B6">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3.1.4</w:t>
            </w:r>
          </w:p>
        </w:tc>
        <w:tc>
          <w:tcPr>
            <w:tcW w:w="5525" w:type="dxa"/>
            <w:gridSpan w:val="2"/>
            <w:tcBorders>
              <w:top w:val="nil"/>
              <w:left w:val="single" w:color="auto" w:sz="4" w:space="0"/>
              <w:bottom w:val="single" w:color="auto" w:sz="4" w:space="0"/>
              <w:right w:val="single" w:color="auto" w:sz="4" w:space="0"/>
            </w:tcBorders>
            <w:shd w:val="clear" w:color="auto" w:fill="auto"/>
            <w:vAlign w:val="center"/>
          </w:tcPr>
          <w:p w14:paraId="2FB91D05">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向受试者或其法定代理人解释试验内容并获得知情同意的研究者应为经过授权的研究人员，具备在本院的执业资质。</w:t>
            </w:r>
          </w:p>
        </w:tc>
        <w:tc>
          <w:tcPr>
            <w:tcW w:w="1134" w:type="dxa"/>
            <w:tcBorders>
              <w:top w:val="nil"/>
              <w:left w:val="nil"/>
              <w:bottom w:val="single" w:color="auto" w:sz="4" w:space="0"/>
              <w:right w:val="single" w:color="auto" w:sz="4" w:space="0"/>
            </w:tcBorders>
            <w:shd w:val="clear" w:color="auto" w:fill="auto"/>
            <w:noWrap/>
            <w:vAlign w:val="bottom"/>
          </w:tcPr>
          <w:p w14:paraId="4E49A99A">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56565596">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3C11C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3A97B387">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3.1.5</w:t>
            </w:r>
          </w:p>
        </w:tc>
        <w:tc>
          <w:tcPr>
            <w:tcW w:w="5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74FBB5">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已签署的知情同意书数量与原始资料、病例报告表中的筛选、入选的病例数相符。</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21C910F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3F24060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5C9F6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958" w:type="dxa"/>
            <w:tcBorders>
              <w:top w:val="nil"/>
              <w:left w:val="single" w:color="auto" w:sz="8" w:space="0"/>
              <w:bottom w:val="single" w:color="auto" w:sz="4" w:space="0"/>
              <w:right w:val="single" w:color="auto" w:sz="4" w:space="0"/>
            </w:tcBorders>
            <w:shd w:val="clear" w:color="auto" w:fill="auto"/>
            <w:vAlign w:val="center"/>
          </w:tcPr>
          <w:p w14:paraId="7D43D67F">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3.1.6</w:t>
            </w:r>
          </w:p>
        </w:tc>
        <w:tc>
          <w:tcPr>
            <w:tcW w:w="5525" w:type="dxa"/>
            <w:gridSpan w:val="2"/>
            <w:tcBorders>
              <w:top w:val="nil"/>
              <w:left w:val="single" w:color="auto" w:sz="4" w:space="0"/>
              <w:bottom w:val="single" w:color="auto" w:sz="4" w:space="0"/>
              <w:right w:val="single" w:color="auto" w:sz="4" w:space="0"/>
            </w:tcBorders>
            <w:shd w:val="clear" w:color="auto" w:fill="auto"/>
            <w:vAlign w:val="center"/>
          </w:tcPr>
          <w:p w14:paraId="399DEEB4">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知情同意书签署时间不早于伦理批准时间，筛选时间不得早于知情同意书签署时间。</w:t>
            </w:r>
          </w:p>
        </w:tc>
        <w:tc>
          <w:tcPr>
            <w:tcW w:w="1134" w:type="dxa"/>
            <w:tcBorders>
              <w:top w:val="nil"/>
              <w:left w:val="nil"/>
              <w:bottom w:val="single" w:color="auto" w:sz="4" w:space="0"/>
              <w:right w:val="single" w:color="auto" w:sz="4" w:space="0"/>
            </w:tcBorders>
            <w:shd w:val="clear" w:color="auto" w:fill="auto"/>
            <w:noWrap/>
            <w:vAlign w:val="bottom"/>
          </w:tcPr>
          <w:p w14:paraId="4E13555F">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51C032BA">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6169C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58" w:type="dxa"/>
            <w:tcBorders>
              <w:top w:val="single" w:color="auto" w:sz="8" w:space="0"/>
              <w:left w:val="single" w:color="auto" w:sz="4" w:space="0"/>
              <w:bottom w:val="single" w:color="auto" w:sz="8" w:space="0"/>
              <w:right w:val="nil"/>
            </w:tcBorders>
            <w:shd w:val="clear" w:color="auto" w:fill="auto"/>
            <w:vAlign w:val="center"/>
          </w:tcPr>
          <w:p w14:paraId="5F49C2A3">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3.2</w:t>
            </w:r>
          </w:p>
        </w:tc>
        <w:tc>
          <w:tcPr>
            <w:tcW w:w="5525" w:type="dxa"/>
            <w:gridSpan w:val="2"/>
            <w:tcBorders>
              <w:top w:val="single" w:color="auto" w:sz="8" w:space="0"/>
              <w:left w:val="single" w:color="auto" w:sz="4" w:space="0"/>
              <w:bottom w:val="single" w:color="auto" w:sz="8" w:space="0"/>
              <w:right w:val="nil"/>
            </w:tcBorders>
            <w:shd w:val="clear" w:color="auto" w:fill="auto"/>
            <w:vAlign w:val="center"/>
          </w:tcPr>
          <w:p w14:paraId="25046E54">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受试者筛选入组及方案执行</w:t>
            </w:r>
          </w:p>
        </w:tc>
        <w:tc>
          <w:tcPr>
            <w:tcW w:w="1134" w:type="dxa"/>
            <w:tcBorders>
              <w:top w:val="nil"/>
              <w:left w:val="single" w:color="auto" w:sz="4" w:space="0"/>
              <w:bottom w:val="single" w:color="auto" w:sz="4" w:space="0"/>
              <w:right w:val="single" w:color="auto" w:sz="4" w:space="0"/>
            </w:tcBorders>
            <w:shd w:val="clear" w:color="auto" w:fill="auto"/>
            <w:noWrap/>
            <w:vAlign w:val="bottom"/>
          </w:tcPr>
          <w:p w14:paraId="59595616">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7E9E6CB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26AFF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8" w:type="dxa"/>
            <w:tcBorders>
              <w:top w:val="single" w:color="auto" w:sz="4" w:space="0"/>
              <w:left w:val="single" w:color="auto" w:sz="8" w:space="0"/>
              <w:bottom w:val="single" w:color="auto" w:sz="4" w:space="0"/>
              <w:right w:val="single" w:color="auto" w:sz="4" w:space="0"/>
            </w:tcBorders>
            <w:shd w:val="clear" w:color="auto" w:fill="auto"/>
            <w:vAlign w:val="center"/>
          </w:tcPr>
          <w:p w14:paraId="63FBBB0F">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3.2.1</w:t>
            </w:r>
          </w:p>
        </w:tc>
        <w:tc>
          <w:tcPr>
            <w:tcW w:w="5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5370D1">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受试者在方案规定的时间内不得重复参加临床试验</w:t>
            </w:r>
          </w:p>
        </w:tc>
        <w:tc>
          <w:tcPr>
            <w:tcW w:w="1134" w:type="dxa"/>
            <w:tcBorders>
              <w:top w:val="nil"/>
              <w:left w:val="nil"/>
              <w:bottom w:val="single" w:color="auto" w:sz="4" w:space="0"/>
              <w:right w:val="single" w:color="auto" w:sz="4" w:space="0"/>
            </w:tcBorders>
            <w:shd w:val="clear" w:color="auto" w:fill="auto"/>
            <w:noWrap/>
            <w:vAlign w:val="bottom"/>
          </w:tcPr>
          <w:p w14:paraId="3B7ACAD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47991AF6">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606F5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4BA68E89">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3.2.2</w:t>
            </w:r>
          </w:p>
        </w:tc>
        <w:tc>
          <w:tcPr>
            <w:tcW w:w="5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6F886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受试者筛选，入选、随机、设盲等应符合药物临床试验方案规定的入选/排除标准的要求并留存有足够的支持性证据。</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13E4DC4F">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6FC8FCF0">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631DE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133975CD">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3.2.3</w:t>
            </w:r>
          </w:p>
        </w:tc>
        <w:tc>
          <w:tcPr>
            <w:tcW w:w="5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333F60">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受试者鉴认代码表或筛选、体检等原始资料应当涵盖受试者身份鉴别的基本信息。</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7F027D6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4B151CE1">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706C6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8" w:type="dxa"/>
            <w:tcBorders>
              <w:top w:val="nil"/>
              <w:left w:val="single" w:color="auto" w:sz="8" w:space="0"/>
              <w:bottom w:val="single" w:color="auto" w:sz="4" w:space="0"/>
              <w:right w:val="single" w:color="auto" w:sz="4" w:space="0"/>
            </w:tcBorders>
            <w:shd w:val="clear" w:color="auto" w:fill="auto"/>
            <w:vAlign w:val="center"/>
          </w:tcPr>
          <w:p w14:paraId="6D0D9FE6">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3.2.4</w:t>
            </w:r>
          </w:p>
        </w:tc>
        <w:tc>
          <w:tcPr>
            <w:tcW w:w="5525" w:type="dxa"/>
            <w:gridSpan w:val="2"/>
            <w:tcBorders>
              <w:top w:val="nil"/>
              <w:left w:val="single" w:color="auto" w:sz="4" w:space="0"/>
              <w:bottom w:val="single" w:color="auto" w:sz="4" w:space="0"/>
              <w:right w:val="single" w:color="auto" w:sz="4" w:space="0"/>
            </w:tcBorders>
            <w:shd w:val="clear" w:color="auto" w:fill="auto"/>
            <w:vAlign w:val="center"/>
          </w:tcPr>
          <w:p w14:paraId="70AC06A1">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病例报告表中受试者编号、给药周期、给药顺序、制剂种类等信息应当与原始资料一致。</w:t>
            </w:r>
          </w:p>
        </w:tc>
        <w:tc>
          <w:tcPr>
            <w:tcW w:w="1134" w:type="dxa"/>
            <w:tcBorders>
              <w:top w:val="nil"/>
              <w:left w:val="nil"/>
              <w:bottom w:val="single" w:color="auto" w:sz="4" w:space="0"/>
              <w:right w:val="single" w:color="auto" w:sz="4" w:space="0"/>
            </w:tcBorders>
            <w:shd w:val="clear" w:color="auto" w:fill="auto"/>
            <w:noWrap/>
            <w:vAlign w:val="bottom"/>
          </w:tcPr>
          <w:p w14:paraId="781F11F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29938780">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0998E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58FB37F1">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3.2.5</w:t>
            </w:r>
          </w:p>
        </w:tc>
        <w:tc>
          <w:tcPr>
            <w:tcW w:w="5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088345">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病例报告表中筛选、入选、脱落、退出和完成药物临床试验的例数应当与分中心小结表、总结报告等一致。</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39F180A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6E687770">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503A7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6F403E67">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3.2.6</w:t>
            </w:r>
          </w:p>
        </w:tc>
        <w:tc>
          <w:tcPr>
            <w:tcW w:w="5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3B202F">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受试者的退出和剔除应当按照药物临床试验方案的要求执行，记录实际情况并保存原始记录，应当与病例报告表一致。</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3241CFEF">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19942001">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7C374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8" w:type="dxa"/>
            <w:tcBorders>
              <w:top w:val="nil"/>
              <w:left w:val="single" w:color="auto" w:sz="8" w:space="0"/>
              <w:bottom w:val="single" w:color="auto" w:sz="4" w:space="0"/>
              <w:right w:val="single" w:color="auto" w:sz="4" w:space="0"/>
            </w:tcBorders>
            <w:shd w:val="clear" w:color="auto" w:fill="auto"/>
            <w:vAlign w:val="center"/>
          </w:tcPr>
          <w:p w14:paraId="0E223021">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3.2.7</w:t>
            </w:r>
          </w:p>
        </w:tc>
        <w:tc>
          <w:tcPr>
            <w:tcW w:w="5525" w:type="dxa"/>
            <w:gridSpan w:val="2"/>
            <w:tcBorders>
              <w:top w:val="nil"/>
              <w:left w:val="single" w:color="auto" w:sz="4" w:space="0"/>
              <w:bottom w:val="single" w:color="auto" w:sz="4" w:space="0"/>
              <w:right w:val="single" w:color="auto" w:sz="4" w:space="0"/>
            </w:tcBorders>
            <w:shd w:val="clear" w:color="auto" w:fill="auto"/>
            <w:vAlign w:val="center"/>
          </w:tcPr>
          <w:p w14:paraId="363A7BF5">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研究者应当遵守药物临床试验方案规定的随机化程序给予受试者试验用药物。</w:t>
            </w:r>
          </w:p>
        </w:tc>
        <w:tc>
          <w:tcPr>
            <w:tcW w:w="1134" w:type="dxa"/>
            <w:tcBorders>
              <w:top w:val="nil"/>
              <w:left w:val="nil"/>
              <w:bottom w:val="single" w:color="auto" w:sz="4" w:space="0"/>
              <w:right w:val="single" w:color="auto" w:sz="4" w:space="0"/>
            </w:tcBorders>
            <w:shd w:val="clear" w:color="auto" w:fill="auto"/>
            <w:noWrap/>
            <w:vAlign w:val="bottom"/>
          </w:tcPr>
          <w:p w14:paraId="46E4B1EA">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64A452CF">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3EBD4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8" w:type="dxa"/>
            <w:tcBorders>
              <w:top w:val="nil"/>
              <w:left w:val="single" w:color="auto" w:sz="8" w:space="0"/>
              <w:bottom w:val="single" w:color="auto" w:sz="4" w:space="0"/>
              <w:right w:val="single" w:color="auto" w:sz="4" w:space="0"/>
            </w:tcBorders>
            <w:shd w:val="clear" w:color="auto" w:fill="auto"/>
            <w:vAlign w:val="center"/>
          </w:tcPr>
          <w:p w14:paraId="5E05A04A">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3.2.8</w:t>
            </w:r>
          </w:p>
        </w:tc>
        <w:tc>
          <w:tcPr>
            <w:tcW w:w="5525" w:type="dxa"/>
            <w:gridSpan w:val="2"/>
            <w:tcBorders>
              <w:top w:val="nil"/>
              <w:left w:val="single" w:color="auto" w:sz="4" w:space="0"/>
              <w:bottom w:val="single" w:color="auto" w:sz="4" w:space="0"/>
              <w:right w:val="single" w:color="auto" w:sz="4" w:space="0"/>
            </w:tcBorders>
            <w:shd w:val="clear" w:color="auto" w:fill="auto"/>
            <w:vAlign w:val="center"/>
          </w:tcPr>
          <w:p w14:paraId="716CAA7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研究者应按照药物临床试验方案规定的试验流程和评估方法实施试验（包括访视时间点、随访检查和评估等）。</w:t>
            </w:r>
          </w:p>
        </w:tc>
        <w:tc>
          <w:tcPr>
            <w:tcW w:w="1134" w:type="dxa"/>
            <w:tcBorders>
              <w:top w:val="nil"/>
              <w:left w:val="nil"/>
              <w:bottom w:val="single" w:color="auto" w:sz="4" w:space="0"/>
              <w:right w:val="single" w:color="auto" w:sz="4" w:space="0"/>
            </w:tcBorders>
            <w:shd w:val="clear" w:color="auto" w:fill="auto"/>
            <w:noWrap/>
            <w:vAlign w:val="bottom"/>
          </w:tcPr>
          <w:p w14:paraId="6810F04F">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3422CD14">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2B49D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8" w:type="dxa"/>
            <w:tcBorders>
              <w:top w:val="nil"/>
              <w:left w:val="single" w:color="auto" w:sz="8" w:space="0"/>
              <w:bottom w:val="single" w:color="auto" w:sz="4" w:space="0"/>
              <w:right w:val="single" w:color="auto" w:sz="4" w:space="0"/>
            </w:tcBorders>
            <w:shd w:val="clear" w:color="auto" w:fill="auto"/>
            <w:vAlign w:val="center"/>
          </w:tcPr>
          <w:p w14:paraId="19FE3F22">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3.2.9</w:t>
            </w:r>
          </w:p>
        </w:tc>
        <w:tc>
          <w:tcPr>
            <w:tcW w:w="5525" w:type="dxa"/>
            <w:gridSpan w:val="2"/>
            <w:tcBorders>
              <w:top w:val="nil"/>
              <w:left w:val="single" w:color="auto" w:sz="4" w:space="0"/>
              <w:bottom w:val="single" w:color="auto" w:sz="4" w:space="0"/>
              <w:right w:val="single" w:color="auto" w:sz="4" w:space="0"/>
            </w:tcBorders>
            <w:shd w:val="clear" w:color="auto" w:fill="auto"/>
            <w:vAlign w:val="center"/>
          </w:tcPr>
          <w:p w14:paraId="0EC2582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研究者应按照药物临床试验方案规定的给药方案（包括剂量、间期、疗程、给药方式和配制方法等）给予受试者试验药物。</w:t>
            </w:r>
          </w:p>
        </w:tc>
        <w:tc>
          <w:tcPr>
            <w:tcW w:w="1134" w:type="dxa"/>
            <w:tcBorders>
              <w:top w:val="nil"/>
              <w:left w:val="nil"/>
              <w:bottom w:val="single" w:color="auto" w:sz="4" w:space="0"/>
              <w:right w:val="single" w:color="auto" w:sz="4" w:space="0"/>
            </w:tcBorders>
            <w:shd w:val="clear" w:color="auto" w:fill="auto"/>
            <w:noWrap/>
            <w:vAlign w:val="bottom"/>
          </w:tcPr>
          <w:p w14:paraId="18B37A5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7A6BB9A1">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3D010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41A35647">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3.2.10</w:t>
            </w:r>
          </w:p>
        </w:tc>
        <w:tc>
          <w:tcPr>
            <w:tcW w:w="5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27B3B0">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盲法试验（如涉及）应当按照试验方案的要求设盲、保持盲态和实施揭盲;意外破盲或因严重不良事件（SAE）需紧急揭盲应书面说明原因。</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3DCDB243">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55ABDFBA">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66992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7828F5DA">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3.2.11</w:t>
            </w:r>
          </w:p>
        </w:tc>
        <w:tc>
          <w:tcPr>
            <w:tcW w:w="5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91696A">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生物样本采集、处理、保存、转运等过程应符合试验方案要求。</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31200CE7">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5E0B8D6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0DC37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58" w:type="dxa"/>
            <w:tcBorders>
              <w:top w:val="single" w:color="auto" w:sz="4" w:space="0"/>
              <w:left w:val="single" w:color="auto" w:sz="4" w:space="0"/>
              <w:bottom w:val="single" w:color="auto" w:sz="4" w:space="0"/>
              <w:right w:val="nil"/>
            </w:tcBorders>
            <w:shd w:val="clear" w:color="auto" w:fill="auto"/>
            <w:vAlign w:val="center"/>
          </w:tcPr>
          <w:p w14:paraId="2E4BFA92">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3.3</w:t>
            </w:r>
          </w:p>
        </w:tc>
        <w:tc>
          <w:tcPr>
            <w:tcW w:w="5525" w:type="dxa"/>
            <w:gridSpan w:val="2"/>
            <w:tcBorders>
              <w:top w:val="single" w:color="auto" w:sz="4" w:space="0"/>
              <w:left w:val="single" w:color="auto" w:sz="4" w:space="0"/>
              <w:bottom w:val="single" w:color="auto" w:sz="4" w:space="0"/>
              <w:right w:val="nil"/>
            </w:tcBorders>
            <w:shd w:val="clear" w:color="auto" w:fill="auto"/>
            <w:vAlign w:val="center"/>
          </w:tcPr>
          <w:p w14:paraId="32C8956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药物临床试验过程数据记录与报告</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6E371C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4B11139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4A223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397470BE">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3.3.1</w:t>
            </w:r>
          </w:p>
        </w:tc>
        <w:tc>
          <w:tcPr>
            <w:tcW w:w="5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3AF143">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药物临床试验相关原始记录的管理应符合医疗和试验要求，有原始医疗文件做支撑。包含试验关键信息的纸质记录的发放和回收应当受控管理</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6B0DDFB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558C687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39A2E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58" w:type="dxa"/>
            <w:tcBorders>
              <w:top w:val="nil"/>
              <w:left w:val="single" w:color="auto" w:sz="8" w:space="0"/>
              <w:bottom w:val="single" w:color="auto" w:sz="4" w:space="0"/>
              <w:right w:val="single" w:color="auto" w:sz="4" w:space="0"/>
            </w:tcBorders>
            <w:shd w:val="clear" w:color="auto" w:fill="auto"/>
            <w:vAlign w:val="center"/>
          </w:tcPr>
          <w:p w14:paraId="74CD4731">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3.3.2</w:t>
            </w:r>
          </w:p>
        </w:tc>
        <w:tc>
          <w:tcPr>
            <w:tcW w:w="5525" w:type="dxa"/>
            <w:gridSpan w:val="2"/>
            <w:tcBorders>
              <w:top w:val="nil"/>
              <w:left w:val="single" w:color="auto" w:sz="4" w:space="0"/>
              <w:bottom w:val="single" w:color="auto" w:sz="4" w:space="0"/>
              <w:right w:val="single" w:color="auto" w:sz="4" w:space="0"/>
            </w:tcBorders>
            <w:shd w:val="clear" w:color="auto" w:fill="auto"/>
            <w:vAlign w:val="center"/>
          </w:tcPr>
          <w:p w14:paraId="62F66C44">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包含试验关键信息的纸质记录的发放和回收应当受控管理，所有纸质记录应有版本号、日期以及页码</w:t>
            </w:r>
          </w:p>
        </w:tc>
        <w:tc>
          <w:tcPr>
            <w:tcW w:w="1134" w:type="dxa"/>
            <w:tcBorders>
              <w:top w:val="nil"/>
              <w:left w:val="nil"/>
              <w:bottom w:val="single" w:color="auto" w:sz="4" w:space="0"/>
              <w:right w:val="single" w:color="auto" w:sz="4" w:space="0"/>
            </w:tcBorders>
            <w:shd w:val="clear" w:color="auto" w:fill="auto"/>
            <w:noWrap/>
            <w:vAlign w:val="bottom"/>
          </w:tcPr>
          <w:p w14:paraId="788E3D66">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4178E98F">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4CAD3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5F0339BE">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3.3.3</w:t>
            </w:r>
          </w:p>
        </w:tc>
        <w:tc>
          <w:tcPr>
            <w:tcW w:w="5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852391">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源数据和病例报告表中的数据修改应当留痕，不能掩盖初始数据，保留修改轨迹，涉及到筛选入选、BE及PK评价、疗效及安全性评分等修改则必须解释理由，由修改者签名并注明日期。</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18BD0438">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79F7597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0762C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8" w:type="dxa"/>
            <w:tcBorders>
              <w:top w:val="nil"/>
              <w:left w:val="single" w:color="auto" w:sz="8" w:space="0"/>
              <w:bottom w:val="single" w:color="auto" w:sz="4" w:space="0"/>
              <w:right w:val="single" w:color="auto" w:sz="4" w:space="0"/>
            </w:tcBorders>
            <w:shd w:val="clear" w:color="auto" w:fill="auto"/>
            <w:vAlign w:val="center"/>
          </w:tcPr>
          <w:p w14:paraId="0312CCC7">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3.3.4</w:t>
            </w:r>
          </w:p>
        </w:tc>
        <w:tc>
          <w:tcPr>
            <w:tcW w:w="5525" w:type="dxa"/>
            <w:gridSpan w:val="2"/>
            <w:tcBorders>
              <w:top w:val="nil"/>
              <w:left w:val="single" w:color="auto" w:sz="4" w:space="0"/>
              <w:bottom w:val="single" w:color="auto" w:sz="4" w:space="0"/>
              <w:right w:val="single" w:color="auto" w:sz="4" w:space="0"/>
            </w:tcBorders>
            <w:shd w:val="clear" w:color="auto" w:fill="auto"/>
            <w:vAlign w:val="center"/>
          </w:tcPr>
          <w:p w14:paraId="4BBA45AC">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以患者为受试者的药物临床试验，相关医疗记录应当载入门诊或住院病历系统。病史记录中应当记录受试者知情同意的具体时间和人员。</w:t>
            </w:r>
          </w:p>
        </w:tc>
        <w:tc>
          <w:tcPr>
            <w:tcW w:w="1134" w:type="dxa"/>
            <w:tcBorders>
              <w:top w:val="nil"/>
              <w:left w:val="nil"/>
              <w:bottom w:val="single" w:color="auto" w:sz="4" w:space="0"/>
              <w:right w:val="single" w:color="auto" w:sz="4" w:space="0"/>
            </w:tcBorders>
            <w:shd w:val="clear" w:color="auto" w:fill="auto"/>
            <w:noWrap/>
            <w:vAlign w:val="bottom"/>
          </w:tcPr>
          <w:p w14:paraId="35B87666">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538861E4">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474FE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58" w:type="dxa"/>
            <w:tcBorders>
              <w:top w:val="nil"/>
              <w:left w:val="single" w:color="auto" w:sz="8" w:space="0"/>
              <w:bottom w:val="single" w:color="auto" w:sz="4" w:space="0"/>
              <w:right w:val="single" w:color="auto" w:sz="4" w:space="0"/>
            </w:tcBorders>
            <w:shd w:val="clear" w:color="auto" w:fill="auto"/>
            <w:vAlign w:val="center"/>
          </w:tcPr>
          <w:p w14:paraId="1E64A982">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3.3.5</w:t>
            </w:r>
          </w:p>
        </w:tc>
        <w:tc>
          <w:tcPr>
            <w:tcW w:w="5525" w:type="dxa"/>
            <w:gridSpan w:val="2"/>
            <w:tcBorders>
              <w:top w:val="nil"/>
              <w:left w:val="single" w:color="auto" w:sz="4" w:space="0"/>
              <w:bottom w:val="single" w:color="auto" w:sz="4" w:space="0"/>
              <w:right w:val="single" w:color="auto" w:sz="4" w:space="0"/>
            </w:tcBorders>
            <w:shd w:val="clear" w:color="auto" w:fill="auto"/>
            <w:vAlign w:val="center"/>
          </w:tcPr>
          <w:p w14:paraId="01923628">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药物临床试验机构的信息化系统具备建立临床试验电子病历条件时，研究者应当首先选用，相应的计算机化系统应当具有完善的权限管理和稽查轨迹。</w:t>
            </w:r>
          </w:p>
        </w:tc>
        <w:tc>
          <w:tcPr>
            <w:tcW w:w="1134" w:type="dxa"/>
            <w:tcBorders>
              <w:top w:val="nil"/>
              <w:left w:val="nil"/>
              <w:bottom w:val="single" w:color="auto" w:sz="4" w:space="0"/>
              <w:right w:val="single" w:color="auto" w:sz="4" w:space="0"/>
            </w:tcBorders>
            <w:shd w:val="clear" w:color="auto" w:fill="auto"/>
            <w:noWrap/>
            <w:vAlign w:val="bottom"/>
          </w:tcPr>
          <w:p w14:paraId="74AB188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4E84538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1BBE4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58" w:type="dxa"/>
            <w:tcBorders>
              <w:top w:val="nil"/>
              <w:left w:val="single" w:color="auto" w:sz="8" w:space="0"/>
              <w:bottom w:val="single" w:color="auto" w:sz="4" w:space="0"/>
              <w:right w:val="single" w:color="auto" w:sz="4" w:space="0"/>
            </w:tcBorders>
            <w:shd w:val="clear" w:color="auto" w:fill="auto"/>
            <w:vAlign w:val="center"/>
          </w:tcPr>
          <w:p w14:paraId="5F7EB796">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3.3.6</w:t>
            </w:r>
          </w:p>
        </w:tc>
        <w:tc>
          <w:tcPr>
            <w:tcW w:w="5525" w:type="dxa"/>
            <w:gridSpan w:val="2"/>
            <w:tcBorders>
              <w:top w:val="nil"/>
              <w:left w:val="single" w:color="auto" w:sz="4" w:space="0"/>
              <w:bottom w:val="single" w:color="auto" w:sz="4" w:space="0"/>
              <w:right w:val="single" w:color="auto" w:sz="4" w:space="0"/>
            </w:tcBorders>
            <w:shd w:val="clear" w:color="auto" w:fill="auto"/>
            <w:vAlign w:val="center"/>
          </w:tcPr>
          <w:p w14:paraId="6F7DEA71">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核查原始记录，与病例报告表和总结报告（或数据库）中记录的AE、SAE、SUSAR、合并用药记录进行核对，核实并记录漏记、误判、误记的例数及具体情况。</w:t>
            </w:r>
          </w:p>
        </w:tc>
        <w:tc>
          <w:tcPr>
            <w:tcW w:w="1134" w:type="dxa"/>
            <w:tcBorders>
              <w:top w:val="nil"/>
              <w:left w:val="nil"/>
              <w:bottom w:val="single" w:color="auto" w:sz="4" w:space="0"/>
              <w:right w:val="single" w:color="auto" w:sz="4" w:space="0"/>
            </w:tcBorders>
            <w:shd w:val="clear" w:color="auto" w:fill="auto"/>
            <w:noWrap/>
            <w:vAlign w:val="bottom"/>
          </w:tcPr>
          <w:p w14:paraId="65D4A7E0">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13EB6247">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259E4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nil"/>
              <w:left w:val="single" w:color="auto" w:sz="8" w:space="0"/>
              <w:bottom w:val="single" w:color="auto" w:sz="4" w:space="0"/>
              <w:right w:val="single" w:color="auto" w:sz="4" w:space="0"/>
            </w:tcBorders>
            <w:shd w:val="clear" w:color="auto" w:fill="auto"/>
            <w:vAlign w:val="center"/>
          </w:tcPr>
          <w:p w14:paraId="022128AF">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3.3.7</w:t>
            </w:r>
          </w:p>
        </w:tc>
        <w:tc>
          <w:tcPr>
            <w:tcW w:w="5525" w:type="dxa"/>
            <w:gridSpan w:val="2"/>
            <w:tcBorders>
              <w:top w:val="nil"/>
              <w:left w:val="single" w:color="auto" w:sz="4" w:space="0"/>
              <w:bottom w:val="nil"/>
              <w:right w:val="single" w:color="auto" w:sz="4" w:space="0"/>
            </w:tcBorders>
            <w:shd w:val="clear" w:color="auto" w:fill="auto"/>
            <w:vAlign w:val="center"/>
          </w:tcPr>
          <w:p w14:paraId="5C3B854F">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核查病例报告表以及数据库中的检查数据与检验科、影像科、心电图室、内镜室（LIS、PACS等信息系统）等检查数据是否一致。</w:t>
            </w:r>
          </w:p>
        </w:tc>
        <w:tc>
          <w:tcPr>
            <w:tcW w:w="1134" w:type="dxa"/>
            <w:tcBorders>
              <w:top w:val="nil"/>
              <w:left w:val="nil"/>
              <w:bottom w:val="single" w:color="auto" w:sz="4" w:space="0"/>
              <w:right w:val="single" w:color="auto" w:sz="4" w:space="0"/>
            </w:tcBorders>
            <w:shd w:val="clear" w:color="auto" w:fill="auto"/>
            <w:noWrap/>
            <w:vAlign w:val="bottom"/>
          </w:tcPr>
          <w:p w14:paraId="51D12E1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525DCF5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7DFB4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8" w:type="dxa"/>
            <w:tcBorders>
              <w:top w:val="nil"/>
              <w:left w:val="single" w:color="auto" w:sz="8" w:space="0"/>
              <w:bottom w:val="single" w:color="auto" w:sz="4" w:space="0"/>
              <w:right w:val="single" w:color="auto" w:sz="4" w:space="0"/>
            </w:tcBorders>
            <w:shd w:val="clear" w:color="auto" w:fill="auto"/>
            <w:vAlign w:val="center"/>
          </w:tcPr>
          <w:p w14:paraId="5BC653A1">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3.3.8</w:t>
            </w:r>
          </w:p>
        </w:tc>
        <w:tc>
          <w:tcPr>
            <w:tcW w:w="5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A02DC5">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若数据处理过程中发生数据转换，确保转换后的数据与原数据一致和该数据转化过程的可见性。</w:t>
            </w:r>
          </w:p>
        </w:tc>
        <w:tc>
          <w:tcPr>
            <w:tcW w:w="1134" w:type="dxa"/>
            <w:tcBorders>
              <w:top w:val="nil"/>
              <w:left w:val="nil"/>
              <w:bottom w:val="single" w:color="auto" w:sz="4" w:space="0"/>
              <w:right w:val="single" w:color="auto" w:sz="4" w:space="0"/>
            </w:tcBorders>
            <w:shd w:val="clear" w:color="auto" w:fill="auto"/>
            <w:noWrap/>
            <w:vAlign w:val="bottom"/>
          </w:tcPr>
          <w:p w14:paraId="0BFAAFB0">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0ADA4559">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49F38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533B5C41">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3.3.</w:t>
            </w:r>
            <w:r>
              <w:rPr>
                <w:rFonts w:hint="eastAsia" w:cs="Times New Roman"/>
                <w:kern w:val="2"/>
                <w:sz w:val="21"/>
                <w:szCs w:val="22"/>
                <w:lang w:val="en-US" w:eastAsia="zh-CN" w:bidi="ar"/>
              </w:rPr>
              <w:t>9</w:t>
            </w:r>
          </w:p>
        </w:tc>
        <w:tc>
          <w:tcPr>
            <w:tcW w:w="5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57872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数据库锁定、锁定后的解锁和再锁定应当事先规定并详细说明其条件和流程。核实数据库锁定后是否有修改及修改说明。</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25FFA63A">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371642C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08B54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626FE7FF">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3.3.1</w:t>
            </w:r>
            <w:r>
              <w:rPr>
                <w:rFonts w:hint="eastAsia" w:cs="Times New Roman"/>
                <w:kern w:val="2"/>
                <w:sz w:val="21"/>
                <w:szCs w:val="22"/>
                <w:lang w:val="en-US" w:eastAsia="zh-CN" w:bidi="ar"/>
              </w:rPr>
              <w:t>0</w:t>
            </w:r>
          </w:p>
        </w:tc>
        <w:tc>
          <w:tcPr>
            <w:tcW w:w="5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2A85A4">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药物临床试验项目资料文件应当保存完整，并及时归档，档案由专人管理。对归档、查阅、借阅和归还等情况及时记录。</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D1F70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DF2834">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303B3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63D052B9">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3.3.1</w:t>
            </w:r>
            <w:r>
              <w:rPr>
                <w:rFonts w:hint="eastAsia" w:cs="Times New Roman"/>
                <w:kern w:val="2"/>
                <w:sz w:val="21"/>
                <w:szCs w:val="22"/>
                <w:lang w:val="en-US" w:eastAsia="zh-CN" w:bidi="ar"/>
              </w:rPr>
              <w:t>1</w:t>
            </w:r>
          </w:p>
        </w:tc>
        <w:tc>
          <w:tcPr>
            <w:tcW w:w="5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07138A">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给药、生物样本采集、实验室检查、生命体征检查、体格检查、心电图检查、饮食饮水等临床试验操作应按照临床试验方案、SOP等要求执行，采取措施保证关键步骤实施的准确性，并保存相关记录。</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21B81139">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331FB21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5B017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58" w:type="dxa"/>
            <w:tcBorders>
              <w:top w:val="single" w:color="auto" w:sz="4" w:space="0"/>
              <w:left w:val="single" w:color="auto" w:sz="4" w:space="0"/>
              <w:bottom w:val="single" w:color="auto" w:sz="4" w:space="0"/>
              <w:right w:val="nil"/>
            </w:tcBorders>
            <w:shd w:val="clear" w:color="auto" w:fill="E7E6E6" w:themeFill="background2"/>
            <w:vAlign w:val="center"/>
          </w:tcPr>
          <w:p w14:paraId="541E8C76">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lang w:val="en-US"/>
              </w:rPr>
            </w:pPr>
            <w:r>
              <w:rPr>
                <w:rFonts w:hint="default" w:ascii="Times New Roman" w:hAnsi="Times New Roman" w:eastAsia="宋体" w:cs="Times New Roman"/>
                <w:b/>
                <w:bCs/>
                <w:kern w:val="2"/>
                <w:sz w:val="21"/>
                <w:szCs w:val="22"/>
                <w:lang w:val="en-US" w:eastAsia="zh-CN" w:bidi="ar"/>
              </w:rPr>
              <w:t>4</w:t>
            </w:r>
          </w:p>
        </w:tc>
        <w:tc>
          <w:tcPr>
            <w:tcW w:w="5525" w:type="dxa"/>
            <w:gridSpan w:val="2"/>
            <w:tcBorders>
              <w:top w:val="single" w:color="auto" w:sz="4" w:space="0"/>
              <w:left w:val="single" w:color="auto" w:sz="4" w:space="0"/>
              <w:bottom w:val="single" w:color="auto" w:sz="4" w:space="0"/>
              <w:right w:val="nil"/>
            </w:tcBorders>
            <w:shd w:val="clear" w:color="auto" w:fill="E7E6E6" w:themeFill="background2"/>
            <w:vAlign w:val="center"/>
          </w:tcPr>
          <w:p w14:paraId="6E6A29F5">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
                <w:bCs/>
                <w:lang w:val="en-US"/>
              </w:rPr>
            </w:pPr>
            <w:r>
              <w:rPr>
                <w:rFonts w:hint="default" w:ascii="Times New Roman" w:hAnsi="Times New Roman" w:eastAsia="宋体" w:cs="Times New Roman"/>
                <w:b/>
                <w:bCs/>
                <w:kern w:val="2"/>
                <w:sz w:val="21"/>
                <w:szCs w:val="22"/>
                <w:lang w:val="en-US" w:eastAsia="zh-CN" w:bidi="ar"/>
              </w:rPr>
              <w:t>安全性指标的处置、记录与报告</w:t>
            </w:r>
          </w:p>
        </w:tc>
        <w:tc>
          <w:tcPr>
            <w:tcW w:w="1134" w:type="dxa"/>
            <w:tcBorders>
              <w:top w:val="single" w:color="auto" w:sz="4" w:space="0"/>
              <w:left w:val="single" w:color="auto" w:sz="4" w:space="0"/>
              <w:bottom w:val="single" w:color="auto" w:sz="4" w:space="0"/>
              <w:right w:val="single" w:color="auto" w:sz="4" w:space="0"/>
            </w:tcBorders>
            <w:shd w:val="clear" w:color="auto" w:fill="E7E6E6" w:themeFill="background2"/>
            <w:noWrap/>
            <w:vAlign w:val="bottom"/>
          </w:tcPr>
          <w:p w14:paraId="165C799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E7E6E6" w:themeFill="background2"/>
            <w:noWrap/>
            <w:vAlign w:val="bottom"/>
          </w:tcPr>
          <w:p w14:paraId="32081903">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1D032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5A0D1890">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4.1</w:t>
            </w:r>
          </w:p>
        </w:tc>
        <w:tc>
          <w:tcPr>
            <w:tcW w:w="5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447A8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对受试者的相关医学判断和处理必须由具有执业资格的研究者执行并记录。</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1D0DF33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05E7F3D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14EF0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42B4A6FB">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4.2</w:t>
            </w:r>
          </w:p>
        </w:tc>
        <w:tc>
          <w:tcPr>
            <w:tcW w:w="5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D48729">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研究者应当对受试者的安全性指标按照临床试验方案、SOP等要求及时做出合理判断和处置，并保存相关记录。</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591E5209">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3532726F">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4C154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0F3BE1D6">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4.3</w:t>
            </w:r>
          </w:p>
        </w:tc>
        <w:tc>
          <w:tcPr>
            <w:tcW w:w="5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1F58F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发生SAE、SUSAR时，研究者应当按照相关要求及时报告。</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4B3FA5B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6C1F16A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47570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08920FAE">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4.4</w:t>
            </w:r>
          </w:p>
        </w:tc>
        <w:tc>
          <w:tcPr>
            <w:tcW w:w="5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8C7698">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除试验方案或者其他文件（如研究者手册）中规定不需立即报告的SAE外，研究者应当立即向药物临床试验机构、伦理委员会、申办方书面报告所有SAE，随后应当及时提供详尽、书面的随访报告。</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13861AC1">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63174715">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5E1B9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125B29B0">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4.5</w:t>
            </w:r>
          </w:p>
        </w:tc>
        <w:tc>
          <w:tcPr>
            <w:tcW w:w="5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835A99">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研究者应确保发生AE、SAE的受试者得到及时合理的治疗。</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2B4F229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0814E6A5">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54CC9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330870F7">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4.6</w:t>
            </w:r>
          </w:p>
        </w:tc>
        <w:tc>
          <w:tcPr>
            <w:tcW w:w="5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64E3A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不良事件与药物相关性的判定应当符合临床试验方案。</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6EC463FA">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4F266E4A">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5F55B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58" w:type="dxa"/>
            <w:tcBorders>
              <w:top w:val="single" w:color="auto" w:sz="4" w:space="0"/>
              <w:left w:val="single" w:color="auto" w:sz="4" w:space="0"/>
              <w:bottom w:val="single" w:color="auto" w:sz="4" w:space="0"/>
              <w:right w:val="nil"/>
            </w:tcBorders>
            <w:shd w:val="clear" w:color="auto" w:fill="E7E6E6" w:themeFill="background2"/>
            <w:vAlign w:val="center"/>
          </w:tcPr>
          <w:p w14:paraId="67B80F6A">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lang w:val="en-US"/>
              </w:rPr>
            </w:pPr>
            <w:r>
              <w:rPr>
                <w:rFonts w:hint="default" w:ascii="Times New Roman" w:hAnsi="Times New Roman" w:eastAsia="宋体" w:cs="Times New Roman"/>
                <w:b/>
                <w:bCs/>
                <w:kern w:val="2"/>
                <w:sz w:val="21"/>
                <w:szCs w:val="22"/>
                <w:lang w:val="en-US" w:eastAsia="zh-CN" w:bidi="ar"/>
              </w:rPr>
              <w:t>5</w:t>
            </w:r>
          </w:p>
        </w:tc>
        <w:tc>
          <w:tcPr>
            <w:tcW w:w="5525" w:type="dxa"/>
            <w:gridSpan w:val="2"/>
            <w:tcBorders>
              <w:top w:val="single" w:color="auto" w:sz="4" w:space="0"/>
              <w:left w:val="single" w:color="auto" w:sz="4" w:space="0"/>
              <w:bottom w:val="single" w:color="auto" w:sz="4" w:space="0"/>
              <w:right w:val="nil"/>
            </w:tcBorders>
            <w:shd w:val="clear" w:color="auto" w:fill="E7E6E6" w:themeFill="background2"/>
            <w:vAlign w:val="center"/>
          </w:tcPr>
          <w:p w14:paraId="55DC3368">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
                <w:bCs/>
                <w:lang w:val="en-US"/>
              </w:rPr>
            </w:pPr>
            <w:r>
              <w:rPr>
                <w:rFonts w:hint="default" w:ascii="Times New Roman" w:hAnsi="Times New Roman" w:eastAsia="宋体" w:cs="Times New Roman"/>
                <w:b/>
                <w:bCs/>
                <w:kern w:val="2"/>
                <w:sz w:val="21"/>
                <w:szCs w:val="22"/>
                <w:lang w:val="en-US" w:eastAsia="zh-CN" w:bidi="ar"/>
              </w:rPr>
              <w:t>试验用药物管理</w:t>
            </w:r>
          </w:p>
        </w:tc>
        <w:tc>
          <w:tcPr>
            <w:tcW w:w="1134" w:type="dxa"/>
            <w:tcBorders>
              <w:top w:val="single" w:color="auto" w:sz="4" w:space="0"/>
              <w:left w:val="single" w:color="auto" w:sz="4" w:space="0"/>
              <w:bottom w:val="single" w:color="auto" w:sz="4" w:space="0"/>
              <w:right w:val="single" w:color="auto" w:sz="4" w:space="0"/>
            </w:tcBorders>
            <w:shd w:val="clear" w:color="auto" w:fill="E7E6E6" w:themeFill="background2"/>
            <w:noWrap/>
            <w:vAlign w:val="bottom"/>
          </w:tcPr>
          <w:p w14:paraId="45D9F9F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E7E6E6" w:themeFill="background2"/>
            <w:noWrap/>
            <w:vAlign w:val="bottom"/>
          </w:tcPr>
          <w:p w14:paraId="2E531FA6">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56039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CC49E3">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5.1</w:t>
            </w:r>
          </w:p>
        </w:tc>
        <w:tc>
          <w:tcPr>
            <w:tcW w:w="5525" w:type="dxa"/>
            <w:gridSpan w:val="2"/>
            <w:tcBorders>
              <w:top w:val="single" w:color="auto" w:sz="4" w:space="0"/>
              <w:left w:val="nil"/>
              <w:bottom w:val="single" w:color="auto" w:sz="4" w:space="0"/>
              <w:right w:val="single" w:color="auto" w:sz="4" w:space="0"/>
            </w:tcBorders>
            <w:shd w:val="clear" w:color="auto" w:fill="auto"/>
            <w:vAlign w:val="center"/>
          </w:tcPr>
          <w:p w14:paraId="2F66087A">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所有申办方提供的试验用药物（包括生理盐水、灭菌用水等）均需提供来源证明、检验报告、药品说明书、在GMP条件下生产的等证明文件。</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61E31540">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27F6F9B1">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3158F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9D5D4">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5.2</w:t>
            </w:r>
          </w:p>
        </w:tc>
        <w:tc>
          <w:tcPr>
            <w:tcW w:w="5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3EFFD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试验用药物的接收、贮存、分发、使用、回收、退还及未使用的处置等各环节的管理应当遵守相应的规定并保存记录。核实各环节时间、数量、操作人等信息的相符性，及一致性。</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68BC65">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02F6E3">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04DB5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E6EBB">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5.3</w:t>
            </w:r>
          </w:p>
        </w:tc>
        <w:tc>
          <w:tcPr>
            <w:tcW w:w="55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F0A23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试验用药物运输和贮存的条件应当符合药物临床试验方案的要求。</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A422837">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0485D19">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37C96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50AD2">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5.4</w:t>
            </w:r>
          </w:p>
        </w:tc>
        <w:tc>
          <w:tcPr>
            <w:tcW w:w="5525" w:type="dxa"/>
            <w:gridSpan w:val="2"/>
            <w:tcBorders>
              <w:top w:val="single" w:color="auto" w:sz="4" w:space="0"/>
              <w:left w:val="nil"/>
              <w:bottom w:val="single" w:color="auto" w:sz="4" w:space="0"/>
              <w:right w:val="single" w:color="auto" w:sz="4" w:space="0"/>
            </w:tcBorders>
            <w:shd w:val="clear" w:color="auto" w:fill="auto"/>
            <w:vAlign w:val="center"/>
          </w:tcPr>
          <w:p w14:paraId="7E3D6A5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研究者应当指派有资格的研究人员管理试验用药物。</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22FDC87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72284AB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57A0E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8" w:type="dxa"/>
            <w:tcBorders>
              <w:top w:val="nil"/>
              <w:left w:val="single" w:color="auto" w:sz="4" w:space="0"/>
              <w:bottom w:val="single" w:color="auto" w:sz="4" w:space="0"/>
              <w:right w:val="single" w:color="auto" w:sz="4" w:space="0"/>
            </w:tcBorders>
            <w:shd w:val="clear" w:color="auto" w:fill="auto"/>
            <w:noWrap/>
            <w:vAlign w:val="center"/>
          </w:tcPr>
          <w:p w14:paraId="5098E2A2">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5.5</w:t>
            </w:r>
          </w:p>
        </w:tc>
        <w:tc>
          <w:tcPr>
            <w:tcW w:w="5525" w:type="dxa"/>
            <w:gridSpan w:val="2"/>
            <w:tcBorders>
              <w:top w:val="nil"/>
              <w:left w:val="nil"/>
              <w:bottom w:val="single" w:color="auto" w:sz="4" w:space="0"/>
              <w:right w:val="single" w:color="auto" w:sz="4" w:space="0"/>
            </w:tcBorders>
            <w:shd w:val="clear" w:color="auto" w:fill="auto"/>
            <w:vAlign w:val="center"/>
          </w:tcPr>
          <w:p w14:paraId="016845BD">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试验药物的使用数量和剩余数量应当与申办者提供的数量一致。</w:t>
            </w:r>
          </w:p>
        </w:tc>
        <w:tc>
          <w:tcPr>
            <w:tcW w:w="1134" w:type="dxa"/>
            <w:tcBorders>
              <w:top w:val="nil"/>
              <w:left w:val="nil"/>
              <w:bottom w:val="single" w:color="auto" w:sz="4" w:space="0"/>
              <w:right w:val="single" w:color="auto" w:sz="4" w:space="0"/>
            </w:tcBorders>
            <w:shd w:val="clear" w:color="auto" w:fill="auto"/>
            <w:noWrap/>
            <w:vAlign w:val="bottom"/>
          </w:tcPr>
          <w:p w14:paraId="4D408048">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nil"/>
              <w:left w:val="nil"/>
              <w:bottom w:val="single" w:color="auto" w:sz="4" w:space="0"/>
              <w:right w:val="single" w:color="auto" w:sz="4" w:space="0"/>
            </w:tcBorders>
            <w:shd w:val="clear" w:color="auto" w:fill="auto"/>
            <w:noWrap/>
            <w:vAlign w:val="bottom"/>
          </w:tcPr>
          <w:p w14:paraId="5F3FF52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12045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A3BA1">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5.6</w:t>
            </w:r>
          </w:p>
        </w:tc>
        <w:tc>
          <w:tcPr>
            <w:tcW w:w="5525" w:type="dxa"/>
            <w:gridSpan w:val="2"/>
            <w:tcBorders>
              <w:top w:val="single" w:color="auto" w:sz="4" w:space="0"/>
              <w:left w:val="nil"/>
              <w:bottom w:val="single" w:color="auto" w:sz="4" w:space="0"/>
              <w:right w:val="single" w:color="auto" w:sz="4" w:space="0"/>
            </w:tcBorders>
            <w:shd w:val="clear" w:color="auto" w:fill="auto"/>
            <w:vAlign w:val="center"/>
          </w:tcPr>
          <w:p w14:paraId="0D567A83">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核对药物管理各项记录中的试验用药物批号与药检报告、总结报告等资料是否一致。</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7DB2D103">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0CA19305">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11683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207BA">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5.7</w:t>
            </w:r>
          </w:p>
        </w:tc>
        <w:tc>
          <w:tcPr>
            <w:tcW w:w="5525" w:type="dxa"/>
            <w:gridSpan w:val="2"/>
            <w:tcBorders>
              <w:top w:val="single" w:color="auto" w:sz="4" w:space="0"/>
              <w:left w:val="nil"/>
              <w:bottom w:val="single" w:color="auto" w:sz="4" w:space="0"/>
              <w:right w:val="single" w:color="auto" w:sz="4" w:space="0"/>
            </w:tcBorders>
            <w:shd w:val="clear" w:color="auto" w:fill="auto"/>
            <w:vAlign w:val="center"/>
          </w:tcPr>
          <w:p w14:paraId="1DE11749">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试验用药物管理各环节的异常情况（如温度湿度失控）应当及时评估处理并记录。</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5CC8F8F9">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7FFD713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009D3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58" w:type="dxa"/>
            <w:tcBorders>
              <w:top w:val="single" w:color="auto" w:sz="4" w:space="0"/>
              <w:left w:val="single" w:color="auto" w:sz="4" w:space="0"/>
              <w:bottom w:val="single" w:color="auto" w:sz="4" w:space="0"/>
              <w:right w:val="nil"/>
            </w:tcBorders>
            <w:shd w:val="clear" w:color="auto" w:fill="E7E6E6" w:themeFill="background2"/>
            <w:vAlign w:val="center"/>
          </w:tcPr>
          <w:p w14:paraId="3D669515">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lang w:val="en-US"/>
              </w:rPr>
            </w:pPr>
            <w:r>
              <w:rPr>
                <w:rFonts w:hint="default" w:ascii="Times New Roman" w:hAnsi="Times New Roman" w:eastAsia="宋体" w:cs="Times New Roman"/>
                <w:b/>
                <w:bCs/>
                <w:kern w:val="2"/>
                <w:sz w:val="21"/>
                <w:szCs w:val="22"/>
                <w:lang w:val="en-US" w:eastAsia="zh-CN" w:bidi="ar"/>
              </w:rPr>
              <w:t>6</w:t>
            </w:r>
          </w:p>
        </w:tc>
        <w:tc>
          <w:tcPr>
            <w:tcW w:w="5525" w:type="dxa"/>
            <w:gridSpan w:val="2"/>
            <w:tcBorders>
              <w:top w:val="single" w:color="auto" w:sz="4" w:space="0"/>
              <w:left w:val="single" w:color="auto" w:sz="4" w:space="0"/>
              <w:bottom w:val="single" w:color="auto" w:sz="4" w:space="0"/>
              <w:right w:val="nil"/>
            </w:tcBorders>
            <w:shd w:val="clear" w:color="auto" w:fill="E7E6E6" w:themeFill="background2"/>
            <w:vAlign w:val="center"/>
          </w:tcPr>
          <w:p w14:paraId="53A1331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b/>
                <w:bCs/>
                <w:lang w:val="en-US"/>
              </w:rPr>
            </w:pPr>
            <w:r>
              <w:rPr>
                <w:rFonts w:hint="default" w:ascii="Times New Roman" w:hAnsi="Times New Roman" w:eastAsia="宋体" w:cs="Times New Roman"/>
                <w:b/>
                <w:bCs/>
                <w:kern w:val="2"/>
                <w:sz w:val="21"/>
                <w:szCs w:val="22"/>
                <w:lang w:val="en-US" w:eastAsia="zh-CN" w:bidi="ar"/>
              </w:rPr>
              <w:t>生物样本的管理</w:t>
            </w:r>
          </w:p>
        </w:tc>
        <w:tc>
          <w:tcPr>
            <w:tcW w:w="1134" w:type="dxa"/>
            <w:tcBorders>
              <w:top w:val="single" w:color="auto" w:sz="4" w:space="0"/>
              <w:left w:val="single" w:color="auto" w:sz="4" w:space="0"/>
              <w:bottom w:val="single" w:color="auto" w:sz="4" w:space="0"/>
              <w:right w:val="single" w:color="auto" w:sz="4" w:space="0"/>
            </w:tcBorders>
            <w:shd w:val="clear" w:color="auto" w:fill="E7E6E6" w:themeFill="background2"/>
            <w:noWrap/>
            <w:vAlign w:val="bottom"/>
          </w:tcPr>
          <w:p w14:paraId="045CEBC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E7E6E6" w:themeFill="background2"/>
            <w:noWrap/>
            <w:vAlign w:val="bottom"/>
          </w:tcPr>
          <w:p w14:paraId="7A135BDB">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244EA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24499BF8">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6.1</w:t>
            </w:r>
          </w:p>
        </w:tc>
        <w:tc>
          <w:tcPr>
            <w:tcW w:w="5525" w:type="dxa"/>
            <w:gridSpan w:val="2"/>
            <w:tcBorders>
              <w:top w:val="single" w:color="auto" w:sz="4" w:space="0"/>
              <w:left w:val="nil"/>
              <w:bottom w:val="single" w:color="auto" w:sz="4" w:space="0"/>
              <w:right w:val="single" w:color="auto" w:sz="4" w:space="0"/>
            </w:tcBorders>
            <w:shd w:val="clear" w:color="auto" w:fill="auto"/>
            <w:vAlign w:val="center"/>
          </w:tcPr>
          <w:p w14:paraId="08BAB871">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生物样本采集、处理、贮存、转运等各环节的管理应当遵守相应的规定并保存记录。核实各环节时间、数量、操作人等信息的相符性，及与病例报告表的一致性。</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49F26BA8">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5AB0BE29">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3E621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7BA62FF7">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6.2</w:t>
            </w:r>
          </w:p>
        </w:tc>
        <w:tc>
          <w:tcPr>
            <w:tcW w:w="5525" w:type="dxa"/>
            <w:gridSpan w:val="2"/>
            <w:tcBorders>
              <w:top w:val="single" w:color="auto" w:sz="4" w:space="0"/>
              <w:left w:val="nil"/>
              <w:bottom w:val="single" w:color="auto" w:sz="4" w:space="0"/>
              <w:right w:val="single" w:color="auto" w:sz="4" w:space="0"/>
            </w:tcBorders>
            <w:shd w:val="clear" w:color="auto" w:fill="auto"/>
            <w:vAlign w:val="center"/>
          </w:tcPr>
          <w:p w14:paraId="0BE7018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生物样本的采集、处理、贮存和转运的条件应当符合药物临床试验方案的要求。</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36BDA59E">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3EFE017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269AA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750425AD">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6.3</w:t>
            </w:r>
          </w:p>
        </w:tc>
        <w:tc>
          <w:tcPr>
            <w:tcW w:w="5525" w:type="dxa"/>
            <w:gridSpan w:val="2"/>
            <w:tcBorders>
              <w:top w:val="single" w:color="auto" w:sz="4" w:space="0"/>
              <w:left w:val="nil"/>
              <w:bottom w:val="single" w:color="auto" w:sz="4" w:space="0"/>
              <w:right w:val="single" w:color="auto" w:sz="4" w:space="0"/>
            </w:tcBorders>
            <w:shd w:val="clear" w:color="auto" w:fill="auto"/>
            <w:vAlign w:val="center"/>
          </w:tcPr>
          <w:p w14:paraId="61D736D1">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样本容器的标识应当易于识别和具有唯一性，且不泄露受试者隐私及制剂种类。</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416F06D3">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793443C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676FC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14:paraId="3A1E154E">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6.4</w:t>
            </w:r>
          </w:p>
        </w:tc>
        <w:tc>
          <w:tcPr>
            <w:tcW w:w="5525" w:type="dxa"/>
            <w:gridSpan w:val="2"/>
            <w:tcBorders>
              <w:top w:val="single" w:color="auto" w:sz="4" w:space="0"/>
              <w:left w:val="nil"/>
              <w:bottom w:val="single" w:color="auto" w:sz="4" w:space="0"/>
              <w:right w:val="single" w:color="auto" w:sz="4" w:space="0"/>
            </w:tcBorders>
            <w:shd w:val="clear" w:color="auto" w:fill="auto"/>
            <w:vAlign w:val="center"/>
          </w:tcPr>
          <w:p w14:paraId="24394417">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生物样本管理各环节的异常情况应当及时评估处理、记录。</w:t>
            </w:r>
          </w:p>
        </w:tc>
        <w:tc>
          <w:tcPr>
            <w:tcW w:w="1134" w:type="dxa"/>
            <w:tcBorders>
              <w:top w:val="single" w:color="auto" w:sz="4" w:space="0"/>
              <w:left w:val="nil"/>
              <w:bottom w:val="single" w:color="auto" w:sz="4" w:space="0"/>
              <w:right w:val="single" w:color="auto" w:sz="4" w:space="0"/>
            </w:tcBorders>
            <w:shd w:val="clear" w:color="auto" w:fill="auto"/>
            <w:noWrap/>
            <w:vAlign w:val="bottom"/>
          </w:tcPr>
          <w:p w14:paraId="3844C345">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736D2717">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Times New Roman"/>
                <w:lang w:val="en-US"/>
              </w:rPr>
            </w:pPr>
            <w:r>
              <w:rPr>
                <w:rFonts w:hint="default" w:ascii="Times New Roman" w:hAnsi="Times New Roman" w:eastAsia="宋体" w:cs="Times New Roman"/>
                <w:kern w:val="2"/>
                <w:sz w:val="21"/>
                <w:szCs w:val="22"/>
                <w:lang w:val="en-US" w:eastAsia="zh-CN" w:bidi="ar"/>
              </w:rPr>
              <w:t>　</w:t>
            </w:r>
          </w:p>
        </w:tc>
      </w:tr>
      <w:tr w14:paraId="7037E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5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0CAF4C6">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lang w:val="en-US"/>
              </w:rPr>
            </w:pPr>
            <w:r>
              <w:rPr>
                <w:rFonts w:hint="default" w:ascii="Times New Roman" w:hAnsi="Times New Roman" w:eastAsia="宋体" w:cs="Times New Roman"/>
                <w:b/>
                <w:bCs/>
                <w:kern w:val="2"/>
                <w:sz w:val="21"/>
                <w:szCs w:val="22"/>
                <w:lang w:val="en-US" w:eastAsia="zh-CN" w:bidi="ar"/>
              </w:rPr>
              <w:t>自查人员签名及日期</w:t>
            </w:r>
          </w:p>
        </w:tc>
        <w:tc>
          <w:tcPr>
            <w:tcW w:w="6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995232">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p>
        </w:tc>
      </w:tr>
      <w:tr w14:paraId="2F02E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45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F8BFA2A">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kern w:val="2"/>
                <w:sz w:val="21"/>
                <w:szCs w:val="22"/>
                <w:lang w:val="en-US" w:eastAsia="zh-CN" w:bidi="ar"/>
              </w:rPr>
            </w:pPr>
            <w:r>
              <w:rPr>
                <w:rFonts w:hint="default" w:ascii="Times New Roman" w:hAnsi="Times New Roman" w:eastAsia="宋体" w:cs="Times New Roman"/>
                <w:b/>
                <w:bCs/>
                <w:kern w:val="2"/>
                <w:sz w:val="21"/>
                <w:szCs w:val="22"/>
                <w:lang w:val="en-US" w:eastAsia="zh-CN" w:bidi="ar"/>
              </w:rPr>
              <w:t>申办方或其授权代表签名及日期</w:t>
            </w:r>
          </w:p>
        </w:tc>
        <w:tc>
          <w:tcPr>
            <w:tcW w:w="6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D5B41B7">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p>
        </w:tc>
      </w:tr>
      <w:tr w14:paraId="55AC3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245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375FBF">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b/>
                <w:bCs/>
                <w:lang w:val="en-US"/>
              </w:rPr>
            </w:pPr>
            <w:r>
              <w:rPr>
                <w:rFonts w:hint="default" w:ascii="Times New Roman" w:hAnsi="Times New Roman" w:eastAsia="宋体" w:cs="Times New Roman"/>
                <w:b/>
                <w:bCs/>
                <w:kern w:val="2"/>
                <w:sz w:val="21"/>
                <w:szCs w:val="22"/>
                <w:lang w:val="en-US" w:eastAsia="zh-CN" w:bidi="ar"/>
              </w:rPr>
              <w:t>主要研究者签名及日期</w:t>
            </w:r>
          </w:p>
        </w:tc>
        <w:tc>
          <w:tcPr>
            <w:tcW w:w="6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8BC751A">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lang w:val="en-US"/>
              </w:rPr>
            </w:pPr>
          </w:p>
        </w:tc>
      </w:tr>
    </w:tbl>
    <w:p w14:paraId="09F7A59F"/>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8D9A5">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3075B">
    <w:pPr>
      <w:pStyle w:val="4"/>
      <w:jc w:val="center"/>
      <w:rPr>
        <w:rFonts w:hint="default" w:ascii="Times New Roman" w:hAnsi="Times New Roman" w:cs="Times New Roman" w:eastAsiaTheme="minorEastAsia"/>
        <w:u w:val="single"/>
        <w:lang w:val="en-US" w:eastAsia="zh-CN"/>
      </w:rPr>
    </w:pPr>
    <w:bookmarkStart w:id="0" w:name="_GoBack"/>
    <w:r>
      <w:rPr>
        <w:rFonts w:hint="default" w:ascii="Times New Roman" w:hAnsi="Times New Roman" w:cs="Times New Roman"/>
        <w:u w:val="single"/>
        <w:lang w:val="en-US" w:eastAsia="zh-CN"/>
      </w:rPr>
      <w:t>铜陵市人民医院药物临床试验机构</w:t>
    </w:r>
    <w:r>
      <w:rPr>
        <w:rFonts w:hint="eastAsia" w:ascii="Times New Roman" w:hAnsi="Times New Roman" w:cs="Times New Roman"/>
        <w:u w:val="single"/>
        <w:lang w:val="en-US" w:eastAsia="zh-CN"/>
      </w:rPr>
      <w:t xml:space="preserve">                                       AF-</w:t>
    </w:r>
    <w:r>
      <w:rPr>
        <w:rFonts w:hint="default" w:ascii="Times New Roman" w:hAnsi="Times New Roman" w:cs="Times New Roman"/>
        <w:u w:val="single"/>
        <w:lang w:val="en-US" w:eastAsia="zh-CN"/>
      </w:rPr>
      <w:t>JG-SOP-0</w:t>
    </w:r>
    <w:r>
      <w:rPr>
        <w:rFonts w:hint="eastAsia" w:ascii="Times New Roman" w:hAnsi="Times New Roman" w:cs="Times New Roman"/>
        <w:u w:val="single"/>
        <w:lang w:val="en-US" w:eastAsia="zh-CN"/>
      </w:rPr>
      <w:t>24</w:t>
    </w:r>
    <w:r>
      <w:rPr>
        <w:rFonts w:hint="default" w:ascii="Times New Roman" w:hAnsi="Times New Roman" w:cs="Times New Roman"/>
        <w:u w:val="single"/>
        <w:lang w:val="en-US" w:eastAsia="zh-CN"/>
      </w:rPr>
      <w:t>-</w:t>
    </w:r>
    <w:r>
      <w:rPr>
        <w:rFonts w:hint="eastAsia" w:ascii="Times New Roman" w:hAnsi="Times New Roman" w:cs="Times New Roman"/>
        <w:u w:val="single"/>
        <w:lang w:val="en-US" w:eastAsia="zh-CN"/>
      </w:rPr>
      <w:t>3.0-02-1.0</w:t>
    </w:r>
  </w:p>
  <w:bookmarkEnd w:id="0"/>
  <w:p w14:paraId="5B90C2DE">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A77E8A"/>
    <w:rsid w:val="36EF5CA7"/>
    <w:rsid w:val="4C516396"/>
    <w:rsid w:val="689C6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2024-11-25T03:44:48Z</dcterms:created>
  <dc:creator>Lenovo</dc:creator>
  <cp:lastModifiedBy>Yves Qick</cp:lastModifiedBy>
  <dcterms:modified xsi:type="dcterms:W3CDTF">2024-11-25T03:47:45Z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DA349B4EF2364773995091C0011C1AD3_12</vt:lpwstr>
  </property>
</Properties>
</file>